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0" w:lineRule="atLeast"/>
        <w:jc w:val="center"/>
        <w:rPr>
          <w:rFonts w:hint="eastAsia" w:ascii="宋体" w:hAnsi="宋体" w:eastAsia="宋体" w:cs="楷体"/>
          <w:b/>
          <w:bCs/>
          <w:sz w:val="44"/>
          <w:szCs w:val="44"/>
          <w:lang w:eastAsia="zh-CN"/>
        </w:rPr>
      </w:pPr>
      <w:r>
        <w:rPr>
          <w:rFonts w:hint="eastAsia" w:ascii="宋体" w:hAnsi="宋体" w:eastAsia="宋体" w:cs="楷体"/>
          <w:b/>
          <w:bCs/>
          <w:sz w:val="44"/>
          <w:szCs w:val="44"/>
          <w:lang w:eastAsia="zh-CN"/>
        </w:rPr>
        <w:t>江西省土地征收社会稳定风险评估服务</w:t>
      </w:r>
    </w:p>
    <w:p>
      <w:pPr>
        <w:spacing w:line="0" w:lineRule="atLeast"/>
        <w:jc w:val="center"/>
        <w:rPr>
          <w:rFonts w:hint="eastAsia" w:ascii="宋体" w:hAnsi="宋体" w:eastAsia="宋体" w:cs="楷体"/>
          <w:b/>
          <w:bCs/>
          <w:sz w:val="44"/>
          <w:szCs w:val="44"/>
          <w:lang w:val="en-US" w:eastAsia="zh-CN"/>
        </w:rPr>
      </w:pPr>
      <w:r>
        <w:rPr>
          <w:rFonts w:hint="eastAsia" w:ascii="宋体" w:hAnsi="宋体" w:eastAsia="宋体" w:cs="楷体"/>
          <w:b/>
          <w:bCs/>
          <w:sz w:val="44"/>
          <w:szCs w:val="44"/>
        </w:rPr>
        <w:t>成本</w:t>
      </w:r>
      <w:r>
        <w:rPr>
          <w:rFonts w:hint="eastAsia" w:ascii="宋体" w:hAnsi="宋体" w:eastAsia="宋体" w:cs="楷体"/>
          <w:b/>
          <w:bCs/>
          <w:sz w:val="44"/>
          <w:szCs w:val="44"/>
          <w:lang w:eastAsia="zh-CN"/>
        </w:rPr>
        <w:t>调研</w:t>
      </w:r>
      <w:r>
        <w:rPr>
          <w:rFonts w:hint="eastAsia" w:ascii="宋体" w:hAnsi="宋体" w:eastAsia="宋体" w:cs="楷体"/>
          <w:b/>
          <w:bCs/>
          <w:sz w:val="44"/>
          <w:szCs w:val="44"/>
          <w:lang w:val="en-US" w:eastAsia="zh-CN"/>
        </w:rPr>
        <w:t>结果报告</w:t>
      </w:r>
    </w:p>
    <w:p>
      <w:pPr>
        <w:spacing w:line="0" w:lineRule="atLeast"/>
        <w:rPr>
          <w:rFonts w:ascii="楷体" w:hAnsi="楷体" w:eastAsia="楷体" w:cs="楷体"/>
          <w:b/>
          <w:bCs/>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jc w:val="left"/>
        <w:textAlignment w:val="auto"/>
        <w:rPr>
          <w:rFonts w:hint="eastAsia" w:ascii="仿宋" w:hAnsi="仿宋" w:eastAsia="仿宋" w:cs="仿宋"/>
          <w:b/>
          <w:color w:val="000000"/>
          <w:sz w:val="24"/>
        </w:rPr>
      </w:pPr>
      <w:r>
        <w:rPr>
          <w:rFonts w:hint="eastAsia" w:ascii="仿宋" w:hAnsi="仿宋" w:eastAsia="仿宋" w:cs="仿宋"/>
          <w:b/>
          <w:color w:val="000000"/>
          <w:sz w:val="24"/>
          <w:lang w:val="en-US" w:eastAsia="zh-CN"/>
        </w:rPr>
        <w:t>一、</w:t>
      </w:r>
      <w:r>
        <w:rPr>
          <w:rFonts w:hint="eastAsia" w:ascii="仿宋" w:hAnsi="仿宋" w:eastAsia="仿宋" w:cs="仿宋"/>
          <w:b/>
          <w:color w:val="000000"/>
          <w:sz w:val="24"/>
        </w:rPr>
        <w:t>调研背景</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bCs/>
          <w:sz w:val="24"/>
        </w:rPr>
      </w:pPr>
      <w:r>
        <w:rPr>
          <w:rFonts w:hint="eastAsia" w:ascii="仿宋" w:hAnsi="仿宋" w:eastAsia="仿宋" w:cs="仿宋"/>
          <w:bCs/>
          <w:sz w:val="24"/>
        </w:rPr>
        <w:t>为加强对土地征收工作的社会稳定风险防控，规范土地征收社会稳定风险评估行为，落实土地征收社会稳定风险评估责任，创建和谐稳定的土地征收社会环境，切实从源头上预防和减少土地征收领域影响社会稳定的矛盾隐患。《中华人民共和国土地管理法》第五章第四十七条规定：县级以上地方人民政府拟申请征收土地的，应当开展拟征收土地现状调查和社会稳定风险评估。为贯彻落实新《中华人民共和国土地管理法》有关开展社会稳定风险评估的规定，规范江西省土地征收社会稳定风险评估行为，落实评估责任，江西省自然资源厅于2021年2月18日印发了《江西省土地征收社会稳定风险评估暂行办法》。</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bCs/>
          <w:sz w:val="24"/>
        </w:rPr>
      </w:pPr>
      <w:r>
        <w:rPr>
          <w:rFonts w:hint="eastAsia" w:ascii="仿宋" w:hAnsi="仿宋" w:eastAsia="仿宋" w:cs="仿宋"/>
          <w:bCs/>
          <w:sz w:val="24"/>
        </w:rPr>
        <w:t>《江西省土地征收社会稳定风险评估暂行办法》规定：土地征收社会稳定风险评估，是指市、县（区）人民政府在申请集体土地征收前，对土地征收过程中可能影响社会稳定的因素，进行科学系统、客观公正的预测、分析和评估，提出风险防范和化解措施，确定风险等级、作出风险评估结论。</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bCs/>
          <w:sz w:val="24"/>
        </w:rPr>
      </w:pPr>
      <w:r>
        <w:rPr>
          <w:rFonts w:hint="eastAsia" w:ascii="仿宋" w:hAnsi="仿宋" w:eastAsia="仿宋" w:cs="仿宋"/>
          <w:bCs/>
          <w:sz w:val="24"/>
        </w:rPr>
        <w:t>土地征收社会稳定风险评估属于新土地管理法实施后土地评估行业的新型业务，为更好的服务会员、服务政府、服务社会，应机构及政府相关职能部门的要求，省协会决定开展此次土地征收社会稳定风险评估服务成本调研。</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_GB2312"/>
          <w:b/>
          <w:bCs w:val="0"/>
          <w:color w:val="000000"/>
          <w:sz w:val="24"/>
          <w:szCs w:val="24"/>
          <w:lang w:eastAsia="zh-CN"/>
        </w:rPr>
      </w:pPr>
      <w:r>
        <w:rPr>
          <w:rFonts w:hint="eastAsia" w:ascii="仿宋" w:hAnsi="仿宋" w:eastAsia="仿宋" w:cs="楷体_GB2312"/>
          <w:b/>
          <w:bCs w:val="0"/>
          <w:color w:val="000000"/>
          <w:sz w:val="24"/>
          <w:szCs w:val="24"/>
          <w:lang w:eastAsia="zh-CN"/>
        </w:rPr>
        <w:t>二、调研过程</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bCs/>
          <w:sz w:val="24"/>
        </w:rPr>
      </w:pPr>
      <w:r>
        <w:rPr>
          <w:rFonts w:hint="eastAsia" w:ascii="仿宋" w:hAnsi="仿宋" w:eastAsia="仿宋" w:cs="仿宋"/>
          <w:bCs/>
          <w:sz w:val="24"/>
        </w:rPr>
        <w:t>根据此次</w:t>
      </w:r>
      <w:r>
        <w:rPr>
          <w:rFonts w:hint="eastAsia" w:ascii="仿宋" w:hAnsi="仿宋" w:eastAsia="仿宋" w:cs="仿宋"/>
          <w:bCs/>
          <w:sz w:val="24"/>
          <w:lang w:eastAsia="zh-CN"/>
        </w:rPr>
        <w:t>调研背景</w:t>
      </w:r>
      <w:r>
        <w:rPr>
          <w:rFonts w:hint="eastAsia" w:ascii="仿宋" w:hAnsi="仿宋" w:eastAsia="仿宋" w:cs="仿宋"/>
          <w:bCs/>
          <w:sz w:val="24"/>
        </w:rPr>
        <w:t>及调研目的，江西省土地成本测算小组于2021年6月开始进行成本调研，</w:t>
      </w:r>
      <w:r>
        <w:rPr>
          <w:rFonts w:hint="eastAsia" w:ascii="仿宋" w:hAnsi="仿宋" w:eastAsia="仿宋" w:cs="仿宋"/>
          <w:bCs/>
          <w:sz w:val="24"/>
          <w:lang w:val="en-US" w:eastAsia="zh-CN"/>
        </w:rPr>
        <w:t>共统计、整理了</w:t>
      </w:r>
      <w:r>
        <w:rPr>
          <w:rFonts w:hint="eastAsia" w:ascii="仿宋" w:hAnsi="仿宋" w:eastAsia="仿宋" w:cs="仿宋"/>
          <w:bCs/>
          <w:sz w:val="24"/>
        </w:rPr>
        <w:t>37份</w:t>
      </w:r>
      <w:r>
        <w:rPr>
          <w:rFonts w:hint="eastAsia" w:ascii="仿宋" w:hAnsi="仿宋" w:eastAsia="仿宋" w:cs="仿宋"/>
          <w:bCs/>
          <w:sz w:val="24"/>
          <w:lang w:val="en-US" w:eastAsia="zh-CN"/>
        </w:rPr>
        <w:t>有效</w:t>
      </w:r>
      <w:r>
        <w:rPr>
          <w:rFonts w:hint="eastAsia" w:ascii="仿宋" w:hAnsi="仿宋" w:eastAsia="仿宋" w:cs="仿宋"/>
          <w:bCs/>
          <w:sz w:val="24"/>
        </w:rPr>
        <w:t>问卷、</w:t>
      </w:r>
      <w:r>
        <w:rPr>
          <w:rFonts w:hint="eastAsia" w:ascii="仿宋" w:hAnsi="仿宋" w:eastAsia="仿宋" w:cs="仿宋"/>
          <w:bCs/>
          <w:sz w:val="24"/>
          <w:lang w:eastAsia="zh-CN"/>
        </w:rPr>
        <w:t>八次专题调研访谈、一次专家评审</w:t>
      </w:r>
      <w:r>
        <w:rPr>
          <w:rFonts w:hint="eastAsia" w:ascii="仿宋" w:hAnsi="仿宋" w:eastAsia="仿宋" w:cs="仿宋"/>
          <w:bCs/>
          <w:sz w:val="24"/>
          <w:lang w:val="en-US" w:eastAsia="zh-CN"/>
        </w:rPr>
        <w:t>、一次会长办公(扩大）会议</w:t>
      </w:r>
      <w:r>
        <w:rPr>
          <w:rFonts w:hint="eastAsia" w:ascii="仿宋" w:hAnsi="仿宋" w:eastAsia="仿宋" w:cs="仿宋"/>
          <w:bCs/>
          <w:sz w:val="24"/>
        </w:rPr>
        <w:t>，成本测算调研过程具体详见下表：</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bCs/>
          <w:color w:val="000000"/>
          <w:sz w:val="24"/>
        </w:rPr>
      </w:pPr>
    </w:p>
    <w:p>
      <w:pPr>
        <w:spacing w:line="360" w:lineRule="auto"/>
        <w:ind w:firstLine="482" w:firstLineChars="200"/>
        <w:jc w:val="center"/>
        <w:rPr>
          <w:rFonts w:hint="eastAsia" w:ascii="仿宋" w:hAnsi="仿宋" w:eastAsia="仿宋" w:cs="仿宋"/>
          <w:b/>
          <w:color w:val="000000"/>
          <w:sz w:val="24"/>
          <w:lang w:val="en-US" w:eastAsia="zh-CN"/>
        </w:rPr>
      </w:pPr>
    </w:p>
    <w:p>
      <w:pPr>
        <w:spacing w:line="360" w:lineRule="auto"/>
        <w:ind w:firstLine="482" w:firstLineChars="200"/>
        <w:jc w:val="center"/>
        <w:rPr>
          <w:rFonts w:ascii="仿宋" w:hAnsi="仿宋" w:eastAsia="仿宋" w:cs="仿宋"/>
          <w:b/>
          <w:color w:val="000000"/>
          <w:sz w:val="24"/>
        </w:rPr>
      </w:pPr>
      <w:r>
        <w:rPr>
          <w:rFonts w:hint="eastAsia" w:ascii="仿宋" w:hAnsi="仿宋" w:eastAsia="仿宋" w:cs="仿宋"/>
          <w:b/>
          <w:color w:val="000000"/>
          <w:sz w:val="24"/>
          <w:lang w:val="en-US" w:eastAsia="zh-CN"/>
        </w:rPr>
        <w:t xml:space="preserve">                      </w:t>
      </w:r>
      <w:r>
        <w:rPr>
          <w:rFonts w:hint="eastAsia" w:ascii="仿宋" w:hAnsi="仿宋" w:eastAsia="仿宋" w:cs="仿宋"/>
          <w:b/>
          <w:color w:val="000000"/>
          <w:sz w:val="24"/>
        </w:rPr>
        <w:t>调研</w:t>
      </w:r>
      <w:r>
        <w:rPr>
          <w:rFonts w:hint="eastAsia" w:ascii="仿宋" w:hAnsi="仿宋" w:eastAsia="仿宋" w:cs="仿宋"/>
          <w:b/>
          <w:color w:val="000000"/>
          <w:sz w:val="24"/>
          <w:lang w:val="en-US" w:eastAsia="zh-CN"/>
        </w:rPr>
        <w:t>过程</w:t>
      </w:r>
      <w:r>
        <w:rPr>
          <w:rFonts w:hint="eastAsia" w:ascii="仿宋" w:hAnsi="仿宋" w:eastAsia="仿宋" w:cs="仿宋"/>
          <w:b/>
          <w:color w:val="000000"/>
          <w:sz w:val="24"/>
        </w:rPr>
        <w:t xml:space="preserve">明细表 </w:t>
      </w:r>
      <w:r>
        <w:rPr>
          <w:rFonts w:ascii="仿宋" w:hAnsi="仿宋" w:eastAsia="仿宋" w:cs="仿宋"/>
          <w:b/>
          <w:color w:val="000000"/>
          <w:sz w:val="24"/>
        </w:rPr>
        <w:t xml:space="preserve">                 </w:t>
      </w:r>
      <w:r>
        <w:rPr>
          <w:rFonts w:hint="eastAsia" w:ascii="仿宋" w:hAnsi="仿宋" w:eastAsia="仿宋" w:cs="仿宋"/>
          <w:b/>
          <w:color w:val="000000"/>
          <w:sz w:val="24"/>
        </w:rPr>
        <w:t>表1</w:t>
      </w:r>
    </w:p>
    <w:tbl>
      <w:tblPr>
        <w:tblStyle w:val="5"/>
        <w:tblW w:w="531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2279"/>
        <w:gridCol w:w="4845"/>
        <w:gridCol w:w="225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329" w:type="pct"/>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仿宋"/>
                <w:b/>
                <w:color w:val="FFFFFF"/>
                <w:szCs w:val="21"/>
              </w:rPr>
            </w:pPr>
            <w:r>
              <w:rPr>
                <w:rFonts w:hint="eastAsia" w:ascii="仿宋" w:hAnsi="仿宋" w:eastAsia="仿宋" w:cs="仿宋"/>
                <w:b/>
                <w:color w:val="FFFFFF"/>
                <w:szCs w:val="21"/>
              </w:rPr>
              <w:t>序号</w:t>
            </w:r>
          </w:p>
        </w:tc>
        <w:tc>
          <w:tcPr>
            <w:tcW w:w="1135" w:type="pct"/>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仿宋"/>
                <w:b/>
                <w:color w:val="FFFFFF"/>
                <w:szCs w:val="21"/>
              </w:rPr>
            </w:pPr>
            <w:r>
              <w:rPr>
                <w:rFonts w:hint="eastAsia" w:ascii="仿宋" w:hAnsi="仿宋" w:eastAsia="仿宋" w:cs="仿宋"/>
                <w:b/>
                <w:color w:val="FFFFFF"/>
                <w:szCs w:val="21"/>
              </w:rPr>
              <w:t>时间</w:t>
            </w:r>
          </w:p>
        </w:tc>
        <w:tc>
          <w:tcPr>
            <w:tcW w:w="2413" w:type="pct"/>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仿宋"/>
                <w:b/>
                <w:color w:val="FFFFFF"/>
                <w:szCs w:val="21"/>
              </w:rPr>
            </w:pPr>
            <w:r>
              <w:rPr>
                <w:rFonts w:hint="eastAsia" w:ascii="仿宋" w:hAnsi="仿宋" w:eastAsia="仿宋" w:cs="仿宋"/>
                <w:b/>
                <w:bCs w:val="0"/>
                <w:color w:val="FFFFFF"/>
                <w:sz w:val="21"/>
                <w:szCs w:val="21"/>
                <w:vertAlign w:val="baseline"/>
                <w:lang w:eastAsia="zh-CN"/>
              </w:rPr>
              <w:t>调研、访谈对象</w:t>
            </w:r>
            <w:r>
              <w:rPr>
                <w:rFonts w:hint="eastAsia" w:ascii="仿宋" w:hAnsi="仿宋" w:eastAsia="仿宋" w:cs="仿宋"/>
                <w:b/>
                <w:bCs w:val="0"/>
                <w:color w:val="FFFFFF"/>
                <w:sz w:val="21"/>
                <w:szCs w:val="21"/>
                <w:vertAlign w:val="baseline"/>
                <w:lang w:val="en-US" w:eastAsia="zh-CN"/>
              </w:rPr>
              <w:t>/评审人员</w:t>
            </w:r>
          </w:p>
        </w:tc>
        <w:tc>
          <w:tcPr>
            <w:tcW w:w="1121" w:type="pct"/>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hint="eastAsia" w:ascii="仿宋" w:hAnsi="仿宋" w:eastAsia="仿宋" w:cs="仿宋"/>
                <w:b/>
                <w:color w:val="FFFFFF"/>
                <w:szCs w:val="21"/>
                <w:lang w:eastAsia="zh-CN"/>
              </w:rPr>
            </w:pPr>
            <w:r>
              <w:rPr>
                <w:rFonts w:hint="eastAsia" w:ascii="仿宋" w:hAnsi="仿宋" w:eastAsia="仿宋" w:cs="仿宋"/>
                <w:b/>
                <w:color w:val="FFFFFF"/>
                <w:szCs w:val="21"/>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329" w:type="pct"/>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1</w:t>
            </w:r>
          </w:p>
        </w:tc>
        <w:tc>
          <w:tcPr>
            <w:tcW w:w="1135" w:type="pct"/>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2021年</w:t>
            </w:r>
            <w:r>
              <w:rPr>
                <w:rFonts w:hint="eastAsia" w:ascii="仿宋" w:hAnsi="仿宋" w:eastAsia="仿宋" w:cs="仿宋"/>
                <w:bCs/>
                <w:color w:val="000000"/>
                <w:szCs w:val="21"/>
                <w:lang w:val="en-US" w:eastAsia="zh-CN"/>
              </w:rPr>
              <w:t>0</w:t>
            </w:r>
            <w:r>
              <w:rPr>
                <w:rFonts w:hint="eastAsia" w:ascii="仿宋" w:hAnsi="仿宋" w:eastAsia="仿宋" w:cs="仿宋"/>
                <w:bCs/>
                <w:color w:val="000000"/>
                <w:szCs w:val="21"/>
              </w:rPr>
              <w:t>8月起至2021年</w:t>
            </w:r>
            <w:r>
              <w:rPr>
                <w:rFonts w:hint="eastAsia" w:ascii="仿宋" w:hAnsi="仿宋" w:eastAsia="仿宋" w:cs="仿宋"/>
                <w:bCs/>
                <w:color w:val="000000"/>
                <w:szCs w:val="21"/>
                <w:lang w:val="en-US" w:eastAsia="zh-CN"/>
              </w:rPr>
              <w:t>0</w:t>
            </w:r>
            <w:r>
              <w:rPr>
                <w:rFonts w:hint="eastAsia" w:ascii="仿宋" w:hAnsi="仿宋" w:eastAsia="仿宋" w:cs="仿宋"/>
                <w:bCs/>
                <w:color w:val="000000"/>
                <w:szCs w:val="21"/>
              </w:rPr>
              <w:t>9月底</w:t>
            </w:r>
          </w:p>
        </w:tc>
        <w:tc>
          <w:tcPr>
            <w:tcW w:w="2413" w:type="pct"/>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江西省内37家土地评估机构</w:t>
            </w:r>
          </w:p>
        </w:tc>
        <w:tc>
          <w:tcPr>
            <w:tcW w:w="1121" w:type="pct"/>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问卷调查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29"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2</w:t>
            </w:r>
          </w:p>
        </w:tc>
        <w:tc>
          <w:tcPr>
            <w:tcW w:w="1135"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2021年07月19日</w:t>
            </w:r>
          </w:p>
        </w:tc>
        <w:tc>
          <w:tcPr>
            <w:tcW w:w="2413"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江西省自然资源厅征地管理处</w:t>
            </w:r>
          </w:p>
        </w:tc>
        <w:tc>
          <w:tcPr>
            <w:tcW w:w="1121"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专题访谈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329"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3</w:t>
            </w:r>
          </w:p>
        </w:tc>
        <w:tc>
          <w:tcPr>
            <w:tcW w:w="1135"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2021年07月29日</w:t>
            </w:r>
          </w:p>
        </w:tc>
        <w:tc>
          <w:tcPr>
            <w:tcW w:w="2413"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南昌县自然资源局</w:t>
            </w:r>
          </w:p>
        </w:tc>
        <w:tc>
          <w:tcPr>
            <w:tcW w:w="1121"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专题调研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9"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4</w:t>
            </w:r>
          </w:p>
        </w:tc>
        <w:tc>
          <w:tcPr>
            <w:tcW w:w="1135"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2021年08月31日</w:t>
            </w:r>
          </w:p>
        </w:tc>
        <w:tc>
          <w:tcPr>
            <w:tcW w:w="2413"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时空云科技有限公司</w:t>
            </w:r>
          </w:p>
        </w:tc>
        <w:tc>
          <w:tcPr>
            <w:tcW w:w="1121"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专题调研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329"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5</w:t>
            </w:r>
          </w:p>
        </w:tc>
        <w:tc>
          <w:tcPr>
            <w:tcW w:w="1135"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2021年09月08日</w:t>
            </w:r>
          </w:p>
        </w:tc>
        <w:tc>
          <w:tcPr>
            <w:tcW w:w="2413"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江西正信土地房地产估价咨询有限公司</w:t>
            </w:r>
          </w:p>
        </w:tc>
        <w:tc>
          <w:tcPr>
            <w:tcW w:w="1121"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专题调研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29"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6</w:t>
            </w:r>
          </w:p>
        </w:tc>
        <w:tc>
          <w:tcPr>
            <w:tcW w:w="1135"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2021年</w:t>
            </w:r>
            <w:r>
              <w:rPr>
                <w:rFonts w:hint="eastAsia" w:ascii="仿宋" w:hAnsi="仿宋" w:eastAsia="仿宋" w:cs="仿宋"/>
                <w:bCs/>
                <w:color w:val="000000"/>
                <w:szCs w:val="21"/>
                <w:lang w:val="en-US" w:eastAsia="zh-CN"/>
              </w:rPr>
              <w:t>0</w:t>
            </w:r>
            <w:r>
              <w:rPr>
                <w:rFonts w:hint="eastAsia" w:ascii="仿宋" w:hAnsi="仿宋" w:eastAsia="仿宋" w:cs="仿宋"/>
                <w:bCs/>
                <w:color w:val="000000"/>
                <w:szCs w:val="21"/>
              </w:rPr>
              <w:t>9月10日</w:t>
            </w:r>
          </w:p>
        </w:tc>
        <w:tc>
          <w:tcPr>
            <w:tcW w:w="2413"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江西地源土地房地产评估规划测绘有限公司</w:t>
            </w:r>
          </w:p>
        </w:tc>
        <w:tc>
          <w:tcPr>
            <w:tcW w:w="1121"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专题调研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29"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7</w:t>
            </w:r>
          </w:p>
        </w:tc>
        <w:tc>
          <w:tcPr>
            <w:tcW w:w="1135"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2021年09月17日</w:t>
            </w:r>
          </w:p>
        </w:tc>
        <w:tc>
          <w:tcPr>
            <w:tcW w:w="2413"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南昌大学经济管理学院教授、江西发展研究院副院长王玉帅</w:t>
            </w:r>
          </w:p>
        </w:tc>
        <w:tc>
          <w:tcPr>
            <w:tcW w:w="1121"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专题访谈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329"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8</w:t>
            </w:r>
          </w:p>
        </w:tc>
        <w:tc>
          <w:tcPr>
            <w:tcW w:w="1135"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2022年03月04日</w:t>
            </w:r>
          </w:p>
        </w:tc>
        <w:tc>
          <w:tcPr>
            <w:tcW w:w="2413"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南昌市自然资源和规划局</w:t>
            </w:r>
          </w:p>
        </w:tc>
        <w:tc>
          <w:tcPr>
            <w:tcW w:w="1121"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仿宋"/>
                <w:bCs/>
                <w:color w:val="000000"/>
                <w:kern w:val="0"/>
                <w:szCs w:val="21"/>
              </w:rPr>
            </w:pPr>
            <w:r>
              <w:rPr>
                <w:rFonts w:hint="eastAsia" w:ascii="仿宋" w:hAnsi="仿宋" w:eastAsia="仿宋" w:cs="仿宋"/>
                <w:bCs/>
                <w:color w:val="000000"/>
                <w:szCs w:val="21"/>
              </w:rPr>
              <w:t>专题调研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329"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9</w:t>
            </w:r>
          </w:p>
        </w:tc>
        <w:tc>
          <w:tcPr>
            <w:tcW w:w="1135"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2022年03月09日</w:t>
            </w:r>
          </w:p>
        </w:tc>
        <w:tc>
          <w:tcPr>
            <w:tcW w:w="2413"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szCs w:val="21"/>
              </w:rPr>
            </w:pPr>
            <w:r>
              <w:rPr>
                <w:rFonts w:hint="eastAsia" w:ascii="仿宋" w:hAnsi="仿宋" w:eastAsia="仿宋" w:cs="仿宋"/>
                <w:bCs/>
                <w:color w:val="000000"/>
                <w:szCs w:val="21"/>
              </w:rPr>
              <w:t>吉安市自然资源局</w:t>
            </w:r>
          </w:p>
        </w:tc>
        <w:tc>
          <w:tcPr>
            <w:tcW w:w="1121"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仿宋"/>
                <w:bCs/>
                <w:color w:val="000000"/>
                <w:kern w:val="0"/>
                <w:szCs w:val="21"/>
              </w:rPr>
            </w:pPr>
            <w:r>
              <w:rPr>
                <w:rFonts w:hint="eastAsia" w:ascii="仿宋" w:hAnsi="仿宋" w:eastAsia="仿宋" w:cs="仿宋"/>
                <w:bCs/>
                <w:color w:val="000000"/>
                <w:szCs w:val="21"/>
              </w:rPr>
              <w:t>专题调研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329"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default" w:ascii="仿宋" w:hAnsi="仿宋" w:eastAsia="仿宋" w:cs="仿宋"/>
                <w:bCs/>
                <w:color w:val="000000"/>
                <w:szCs w:val="21"/>
                <w:lang w:val="en-US" w:eastAsia="zh-CN"/>
              </w:rPr>
            </w:pPr>
            <w:r>
              <w:rPr>
                <w:rFonts w:hint="eastAsia" w:ascii="仿宋" w:hAnsi="仿宋" w:eastAsia="仿宋" w:cs="仿宋"/>
                <w:bCs/>
                <w:color w:val="000000"/>
                <w:szCs w:val="21"/>
                <w:lang w:val="en-US" w:eastAsia="zh-CN"/>
              </w:rPr>
              <w:t>10</w:t>
            </w:r>
          </w:p>
        </w:tc>
        <w:tc>
          <w:tcPr>
            <w:tcW w:w="1135"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default" w:ascii="仿宋" w:hAnsi="仿宋" w:eastAsia="仿宋" w:cs="仿宋"/>
                <w:bCs/>
                <w:color w:val="000000"/>
                <w:szCs w:val="21"/>
                <w:lang w:val="en-US" w:eastAsia="zh-CN"/>
              </w:rPr>
            </w:pPr>
            <w:r>
              <w:rPr>
                <w:rFonts w:hint="eastAsia" w:ascii="仿宋" w:hAnsi="仿宋" w:eastAsia="仿宋" w:cs="仿宋"/>
                <w:bCs/>
                <w:color w:val="000000"/>
                <w:szCs w:val="21"/>
                <w:lang w:val="en-US" w:eastAsia="zh-CN"/>
              </w:rPr>
              <w:t>2022年09月29日</w:t>
            </w:r>
          </w:p>
        </w:tc>
        <w:tc>
          <w:tcPr>
            <w:tcW w:w="2413"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default" w:ascii="仿宋" w:hAnsi="仿宋" w:eastAsia="仿宋" w:cs="仿宋"/>
                <w:bCs/>
                <w:color w:val="000000"/>
                <w:szCs w:val="21"/>
                <w:lang w:val="en-US" w:eastAsia="zh-CN"/>
              </w:rPr>
            </w:pPr>
            <w:r>
              <w:rPr>
                <w:rFonts w:hint="eastAsia" w:ascii="仿宋" w:hAnsi="仿宋" w:eastAsia="仿宋" w:cs="仿宋"/>
                <w:bCs/>
                <w:color w:val="000000"/>
                <w:kern w:val="0"/>
                <w:sz w:val="21"/>
                <w:szCs w:val="21"/>
                <w:lang w:val="en-US" w:eastAsia="zh-CN"/>
              </w:rPr>
              <w:t>江西省厅征地管理处、南昌</w:t>
            </w:r>
            <w:r>
              <w:rPr>
                <w:rFonts w:hint="eastAsia" w:ascii="仿宋" w:hAnsi="仿宋" w:eastAsia="仿宋" w:cs="仿宋"/>
                <w:bCs/>
                <w:color w:val="000000"/>
                <w:kern w:val="0"/>
                <w:sz w:val="21"/>
                <w:szCs w:val="21"/>
                <w:lang w:eastAsia="zh-CN"/>
              </w:rPr>
              <w:t>市局、</w:t>
            </w:r>
            <w:r>
              <w:rPr>
                <w:rFonts w:hint="eastAsia" w:ascii="仿宋" w:hAnsi="仿宋" w:eastAsia="仿宋" w:cs="仿宋"/>
                <w:bCs/>
                <w:color w:val="000000"/>
                <w:kern w:val="0"/>
                <w:sz w:val="21"/>
                <w:szCs w:val="21"/>
                <w:lang w:val="en-US" w:eastAsia="zh-CN"/>
              </w:rPr>
              <w:t>中估协专家</w:t>
            </w:r>
          </w:p>
        </w:tc>
        <w:tc>
          <w:tcPr>
            <w:tcW w:w="1121"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default" w:ascii="仿宋" w:hAnsi="仿宋" w:eastAsia="仿宋" w:cs="仿宋"/>
                <w:bCs/>
                <w:color w:val="000000"/>
                <w:szCs w:val="21"/>
                <w:lang w:val="en-US" w:eastAsia="zh-CN"/>
              </w:rPr>
            </w:pPr>
            <w:r>
              <w:rPr>
                <w:rFonts w:hint="eastAsia" w:ascii="仿宋" w:hAnsi="仿宋" w:eastAsia="仿宋" w:cs="仿宋"/>
                <w:bCs/>
                <w:color w:val="000000"/>
                <w:szCs w:val="21"/>
                <w:lang w:val="en-US" w:eastAsia="zh-CN"/>
              </w:rPr>
              <w:t>专题评审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329"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hint="default" w:ascii="仿宋" w:hAnsi="仿宋" w:eastAsia="仿宋" w:cs="仿宋"/>
                <w:bCs/>
                <w:color w:val="000000"/>
                <w:szCs w:val="21"/>
                <w:lang w:val="en-US" w:eastAsia="zh-CN"/>
              </w:rPr>
            </w:pPr>
            <w:r>
              <w:rPr>
                <w:rFonts w:hint="eastAsia" w:ascii="仿宋" w:hAnsi="仿宋" w:eastAsia="仿宋" w:cs="仿宋"/>
                <w:bCs/>
                <w:color w:val="000000"/>
                <w:szCs w:val="21"/>
                <w:lang w:val="en-US" w:eastAsia="zh-CN"/>
              </w:rPr>
              <w:t>11</w:t>
            </w:r>
          </w:p>
        </w:tc>
        <w:tc>
          <w:tcPr>
            <w:tcW w:w="1135"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hint="default" w:ascii="仿宋" w:hAnsi="仿宋" w:eastAsia="仿宋" w:cs="仿宋"/>
                <w:bCs/>
                <w:color w:val="000000"/>
                <w:szCs w:val="21"/>
                <w:lang w:val="en-US" w:eastAsia="zh-CN"/>
              </w:rPr>
            </w:pPr>
            <w:r>
              <w:rPr>
                <w:rFonts w:hint="eastAsia" w:ascii="仿宋" w:hAnsi="仿宋" w:eastAsia="仿宋" w:cs="仿宋"/>
                <w:bCs/>
                <w:color w:val="000000"/>
                <w:szCs w:val="21"/>
                <w:lang w:val="en-US" w:eastAsia="zh-CN"/>
              </w:rPr>
              <w:t>2022年11月07日</w:t>
            </w:r>
          </w:p>
        </w:tc>
        <w:tc>
          <w:tcPr>
            <w:tcW w:w="2413"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hint="eastAsia" w:ascii="仿宋" w:hAnsi="仿宋" w:eastAsia="仿宋" w:cs="仿宋"/>
                <w:bCs/>
                <w:color w:val="000000"/>
                <w:szCs w:val="21"/>
              </w:rPr>
            </w:pPr>
            <w:r>
              <w:rPr>
                <w:rFonts w:hint="eastAsia" w:ascii="仿宋" w:hAnsi="仿宋" w:eastAsia="仿宋" w:cs="仿宋"/>
                <w:bCs/>
                <w:color w:val="000000"/>
                <w:kern w:val="0"/>
                <w:sz w:val="21"/>
                <w:szCs w:val="21"/>
                <w:lang w:eastAsia="zh-CN"/>
              </w:rPr>
              <w:t>江西省自然资源评价评估行业协会副会长及常务理事</w:t>
            </w:r>
          </w:p>
        </w:tc>
        <w:tc>
          <w:tcPr>
            <w:tcW w:w="1121"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hint="default" w:ascii="仿宋" w:hAnsi="仿宋" w:eastAsia="仿宋" w:cs="仿宋"/>
                <w:bCs/>
                <w:color w:val="000000"/>
                <w:szCs w:val="21"/>
                <w:lang w:val="en-US" w:eastAsia="zh-CN"/>
              </w:rPr>
            </w:pPr>
            <w:r>
              <w:rPr>
                <w:rFonts w:hint="eastAsia" w:ascii="仿宋" w:hAnsi="仿宋" w:eastAsia="仿宋" w:cs="仿宋"/>
                <w:bCs/>
                <w:color w:val="000000"/>
                <w:szCs w:val="21"/>
                <w:lang w:val="en-US" w:eastAsia="zh-CN"/>
              </w:rPr>
              <w:t>会议讨论</w:t>
            </w:r>
          </w:p>
        </w:tc>
      </w:tr>
    </w:tbl>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color w:val="000000"/>
          <w:sz w:val="24"/>
          <w:szCs w:val="24"/>
          <w:lang w:eastAsia="zh-CN"/>
        </w:rPr>
      </w:pPr>
      <w:r>
        <w:rPr>
          <w:rFonts w:hint="eastAsia" w:ascii="仿宋" w:hAnsi="仿宋" w:eastAsia="仿宋" w:cs="仿宋"/>
          <w:b/>
          <w:color w:val="000000"/>
          <w:sz w:val="24"/>
          <w:szCs w:val="24"/>
          <w:lang w:eastAsia="zh-CN"/>
        </w:rPr>
        <w:t>三、调研成果</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ascii="仿宋" w:hAnsi="仿宋" w:eastAsia="仿宋" w:cs="方正楷体_GB2312"/>
          <w:b/>
          <w:color w:val="000000"/>
          <w:sz w:val="24"/>
        </w:rPr>
      </w:pPr>
      <w:r>
        <w:rPr>
          <w:rFonts w:hint="eastAsia" w:ascii="仿宋" w:hAnsi="仿宋" w:eastAsia="仿宋" w:cs="方正楷体_GB2312"/>
          <w:b/>
          <w:color w:val="000000"/>
          <w:sz w:val="24"/>
        </w:rPr>
        <w:t>（一）江西省土地评估机构人员成本情况</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方正楷体_GB2312"/>
          <w:bCs/>
          <w:color w:val="000000"/>
          <w:sz w:val="24"/>
        </w:rPr>
      </w:pPr>
      <w:r>
        <w:rPr>
          <w:rFonts w:hint="eastAsia" w:ascii="仿宋" w:hAnsi="仿宋" w:eastAsia="仿宋" w:cs="方正楷体_GB2312"/>
          <w:bCs/>
          <w:color w:val="000000"/>
          <w:sz w:val="24"/>
        </w:rPr>
        <w:t>通过对江西省37家土地评估机构进行问卷调查统计分析得出，目前江西省土地评估机构人员成本情况如下：</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方正楷体_GB2312"/>
          <w:bCs/>
          <w:color w:val="000000"/>
          <w:sz w:val="24"/>
        </w:rPr>
      </w:pPr>
      <w:r>
        <w:rPr>
          <w:rFonts w:hint="eastAsia" w:ascii="仿宋" w:hAnsi="仿宋" w:eastAsia="仿宋" w:cs="方正楷体_GB2312"/>
          <w:bCs/>
          <w:color w:val="000000"/>
          <w:sz w:val="24"/>
        </w:rPr>
        <w:t>1、估价助理的年薪主要集中在4-8万/年，占比72.72%；</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方正楷体_GB2312"/>
          <w:bCs/>
          <w:color w:val="000000"/>
          <w:sz w:val="24"/>
        </w:rPr>
      </w:pPr>
      <w:r>
        <w:rPr>
          <w:rFonts w:hint="eastAsia" w:ascii="仿宋" w:hAnsi="仿宋" w:eastAsia="仿宋" w:cs="方正楷体_GB2312"/>
          <w:bCs/>
          <w:color w:val="000000"/>
          <w:sz w:val="24"/>
        </w:rPr>
        <w:t>2、土地估价师的年薪主要集中在8-12万/年，占比67.57%；</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方正楷体_GB2312"/>
          <w:bCs/>
          <w:color w:val="000000"/>
          <w:sz w:val="24"/>
        </w:rPr>
      </w:pPr>
      <w:r>
        <w:rPr>
          <w:rFonts w:hint="eastAsia" w:ascii="仿宋" w:hAnsi="仿宋" w:eastAsia="仿宋" w:cs="方正楷体_GB2312"/>
          <w:bCs/>
          <w:color w:val="000000"/>
          <w:sz w:val="24"/>
        </w:rPr>
        <w:t>3、项目经理的年薪主要集中在12-16万/年，占比62.18%。</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方正楷体_GB2312"/>
          <w:b/>
          <w:color w:val="000000"/>
          <w:sz w:val="24"/>
        </w:rPr>
      </w:pPr>
      <w:r>
        <w:rPr>
          <w:rFonts w:hint="eastAsia" w:ascii="仿宋" w:hAnsi="仿宋" w:eastAsia="仿宋" w:cs="方正楷体_GB2312"/>
          <w:b/>
          <w:color w:val="000000"/>
          <w:sz w:val="24"/>
        </w:rPr>
        <w:t>（二）江西省土地评估机构从事</w:t>
      </w:r>
      <w:r>
        <w:rPr>
          <w:rFonts w:hint="eastAsia" w:ascii="仿宋" w:hAnsi="仿宋" w:eastAsia="仿宋" w:cs="楷体"/>
          <w:b/>
          <w:sz w:val="24"/>
        </w:rPr>
        <w:t>土地征收社会稳定风险评估情况</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方正楷体_GB2312"/>
          <w:bCs/>
          <w:color w:val="000000"/>
          <w:sz w:val="24"/>
        </w:rPr>
      </w:pPr>
      <w:r>
        <w:rPr>
          <w:rFonts w:hint="eastAsia" w:ascii="仿宋" w:hAnsi="仿宋" w:eastAsia="仿宋" w:cs="方正楷体_GB2312"/>
          <w:bCs/>
          <w:color w:val="000000"/>
          <w:sz w:val="24"/>
        </w:rPr>
        <w:t>1、江西省目前开展土地征收社会稳定风险评估的机构主要集中为A级资信的土地评估机构；</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方正楷体_GB2312"/>
          <w:bCs/>
          <w:color w:val="000000"/>
          <w:sz w:val="24"/>
        </w:rPr>
      </w:pPr>
      <w:r>
        <w:rPr>
          <w:rFonts w:hint="eastAsia" w:ascii="仿宋" w:hAnsi="仿宋" w:eastAsia="仿宋" w:cs="方正楷体_GB2312"/>
          <w:bCs/>
          <w:color w:val="000000"/>
          <w:sz w:val="24"/>
        </w:rPr>
        <w:t>2、江西省土地征收社会稳定风险评估项目面积在100-500亩之间，300亩以下的项目占比较大；</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方正楷体_GB2312"/>
          <w:b/>
          <w:color w:val="000000"/>
          <w:sz w:val="24"/>
        </w:rPr>
      </w:pPr>
      <w:r>
        <w:rPr>
          <w:rFonts w:hint="eastAsia" w:ascii="仿宋" w:hAnsi="仿宋" w:eastAsia="仿宋" w:cs="方正楷体_GB2312"/>
          <w:bCs/>
          <w:color w:val="000000"/>
          <w:sz w:val="24"/>
        </w:rPr>
        <w:t>3、江西省土地征收社会稳定风险评估收费情况差异较大，从100元以下每亩到450元以上每亩不等，其中</w:t>
      </w:r>
      <w:r>
        <w:rPr>
          <w:rFonts w:hint="eastAsia" w:ascii="仿宋" w:hAnsi="仿宋" w:eastAsia="仿宋" w:cs="方正楷体_GB2312"/>
          <w:b/>
          <w:color w:val="000000"/>
          <w:sz w:val="24"/>
        </w:rPr>
        <w:t>主要收费集中350-450元/亩，占比为54.54%。</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方正楷体_GB2312"/>
          <w:b/>
          <w:color w:val="000000"/>
          <w:sz w:val="24"/>
        </w:rPr>
      </w:pPr>
      <w:r>
        <w:rPr>
          <w:rFonts w:hint="eastAsia" w:ascii="仿宋" w:hAnsi="仿宋" w:eastAsia="仿宋" w:cs="宋体"/>
          <w:bCs/>
          <w:color w:val="000000"/>
          <w:sz w:val="24"/>
        </w:rPr>
        <w:t>4、以一个500亩项目为例，对37家土地评估机构开展项目评估服务成本调查，最终汇总得出项目平均服务成本为</w:t>
      </w:r>
      <w:r>
        <w:rPr>
          <w:rFonts w:hint="eastAsia" w:ascii="仿宋" w:hAnsi="仿宋" w:eastAsia="仿宋" w:cs="宋体"/>
          <w:b/>
          <w:color w:val="000000"/>
          <w:sz w:val="24"/>
          <w:lang w:val="en-US" w:eastAsia="zh-CN"/>
        </w:rPr>
        <w:t>305</w:t>
      </w:r>
      <w:r>
        <w:rPr>
          <w:rFonts w:hint="eastAsia" w:ascii="仿宋" w:hAnsi="仿宋" w:eastAsia="仿宋" w:cs="宋体"/>
          <w:b/>
          <w:color w:val="000000"/>
          <w:sz w:val="24"/>
        </w:rPr>
        <w:t>元/亩。</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方正楷体_GB2312"/>
          <w:b/>
          <w:color w:val="000000"/>
          <w:sz w:val="24"/>
        </w:rPr>
      </w:pPr>
      <w:r>
        <w:rPr>
          <w:rFonts w:hint="eastAsia" w:ascii="仿宋" w:hAnsi="仿宋" w:eastAsia="仿宋" w:cs="方正楷体_GB2312"/>
          <w:b/>
          <w:color w:val="000000"/>
          <w:sz w:val="24"/>
        </w:rPr>
        <w:t>（三）土地征收主要社会矛盾</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仿宋" w:hAnsi="仿宋" w:eastAsia="仿宋" w:cs="方正楷体_GB2312"/>
          <w:bCs/>
          <w:color w:val="000000"/>
          <w:sz w:val="24"/>
        </w:rPr>
      </w:pPr>
      <w:r>
        <w:rPr>
          <w:rFonts w:hint="eastAsia" w:ascii="仿宋" w:hAnsi="仿宋" w:eastAsia="仿宋" w:cs="方正楷体_GB2312"/>
          <w:bCs/>
          <w:color w:val="000000"/>
          <w:sz w:val="24"/>
          <w:lang w:eastAsia="zh-CN"/>
        </w:rPr>
        <w:t>通过8次专题访谈</w:t>
      </w:r>
      <w:r>
        <w:rPr>
          <w:rFonts w:hint="eastAsia" w:ascii="仿宋" w:hAnsi="仿宋" w:eastAsia="仿宋" w:cs="方正楷体_GB2312"/>
          <w:bCs/>
          <w:color w:val="000000"/>
          <w:sz w:val="24"/>
        </w:rPr>
        <w:t>，总结归纳出土地征收主要社会矛盾如下：</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仿宋" w:hAnsi="仿宋" w:eastAsia="仿宋" w:cs="方正楷体_GB2312"/>
          <w:bCs/>
          <w:color w:val="000000"/>
          <w:sz w:val="24"/>
        </w:rPr>
      </w:pPr>
      <w:r>
        <w:rPr>
          <w:rFonts w:hint="eastAsia" w:ascii="仿宋" w:hAnsi="仿宋" w:eastAsia="仿宋" w:cs="方正楷体_GB2312"/>
          <w:bCs/>
          <w:color w:val="000000"/>
          <w:sz w:val="24"/>
        </w:rPr>
        <w:t>1、失地农民对补偿标准不满足引发的社会矛盾；</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仿宋" w:hAnsi="仿宋" w:eastAsia="仿宋" w:cs="方正楷体_GB2312"/>
          <w:bCs/>
          <w:color w:val="000000"/>
          <w:sz w:val="24"/>
        </w:rPr>
      </w:pPr>
      <w:r>
        <w:rPr>
          <w:rFonts w:hint="eastAsia" w:ascii="仿宋" w:hAnsi="仿宋" w:eastAsia="仿宋" w:cs="方正楷体_GB2312"/>
          <w:bCs/>
          <w:color w:val="000000"/>
          <w:sz w:val="24"/>
        </w:rPr>
        <w:t>2、因新旧补偿标准不一致造成的补偿金额差异引发的社会矛盾；</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仿宋" w:hAnsi="仿宋" w:eastAsia="仿宋" w:cs="方正楷体_GB2312"/>
          <w:bCs/>
          <w:color w:val="000000"/>
          <w:sz w:val="24"/>
        </w:rPr>
      </w:pPr>
      <w:r>
        <w:rPr>
          <w:rFonts w:hint="eastAsia" w:ascii="仿宋" w:hAnsi="仿宋" w:eastAsia="仿宋" w:cs="方正楷体_GB2312"/>
          <w:bCs/>
          <w:color w:val="000000"/>
          <w:sz w:val="24"/>
        </w:rPr>
        <w:t>3、因行政区划不同，仅一路之隔的区域补偿标准不一致引发的社会矛盾；</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仿宋" w:hAnsi="仿宋" w:eastAsia="仿宋" w:cs="方正楷体_GB2312"/>
          <w:bCs/>
          <w:color w:val="000000"/>
          <w:sz w:val="24"/>
        </w:rPr>
      </w:pPr>
      <w:r>
        <w:rPr>
          <w:rFonts w:hint="eastAsia" w:ascii="仿宋" w:hAnsi="仿宋" w:eastAsia="仿宋" w:cs="方正楷体_GB2312"/>
          <w:bCs/>
          <w:color w:val="000000"/>
          <w:sz w:val="24"/>
        </w:rPr>
        <w:t>4、社会保障措施滞后，难于解除农民的后顾之忧引发的社会矛盾；</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仿宋" w:hAnsi="仿宋" w:eastAsia="仿宋" w:cs="方正楷体_GB2312"/>
          <w:bCs/>
          <w:color w:val="000000"/>
          <w:sz w:val="24"/>
        </w:rPr>
      </w:pPr>
      <w:r>
        <w:rPr>
          <w:rFonts w:hint="eastAsia" w:ascii="仿宋" w:hAnsi="仿宋" w:eastAsia="仿宋" w:cs="方正楷体_GB2312"/>
          <w:bCs/>
          <w:color w:val="000000"/>
          <w:sz w:val="24"/>
        </w:rPr>
        <w:t>5、对安置房不满造成的社会矛盾；</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仿宋" w:hAnsi="仿宋" w:eastAsia="仿宋" w:cs="方正楷体_GB2312"/>
          <w:bCs/>
          <w:color w:val="000000"/>
          <w:sz w:val="24"/>
        </w:rPr>
      </w:pPr>
      <w:r>
        <w:rPr>
          <w:rFonts w:hint="eastAsia" w:ascii="仿宋" w:hAnsi="仿宋" w:eastAsia="仿宋" w:cs="方正楷体_GB2312"/>
          <w:bCs/>
          <w:color w:val="000000"/>
          <w:sz w:val="24"/>
        </w:rPr>
        <w:t>6、土地被征用后的巨额增值造成心理落差及补偿方式单一引发的社会矛盾。</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
          <w:sz w:val="24"/>
        </w:rPr>
      </w:pPr>
      <w:r>
        <w:rPr>
          <w:rFonts w:hint="eastAsia" w:ascii="仿宋" w:hAnsi="仿宋" w:eastAsia="仿宋" w:cs="方正楷体_GB2312"/>
          <w:b/>
          <w:color w:val="000000"/>
          <w:sz w:val="24"/>
        </w:rPr>
        <w:t>（四）江西省</w:t>
      </w:r>
      <w:r>
        <w:rPr>
          <w:rFonts w:hint="eastAsia" w:ascii="仿宋" w:hAnsi="仿宋" w:eastAsia="仿宋" w:cs="楷体"/>
          <w:b/>
          <w:sz w:val="24"/>
        </w:rPr>
        <w:t>土地征收社会稳定风险评估收费情况</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方正楷体_GB2312"/>
          <w:bCs/>
          <w:color w:val="000000"/>
          <w:sz w:val="24"/>
        </w:rPr>
        <w:t>江西省社会稳定风险评估目前未有统一收费标准，主要根据市场行情及工作的难易程度进行取费，各地市、县区都存在较大的差异。</w:t>
      </w:r>
      <w:r>
        <w:rPr>
          <w:rFonts w:hint="eastAsia" w:ascii="仿宋" w:hAnsi="仿宋" w:eastAsia="仿宋" w:cs="方正楷体_GB2312"/>
          <w:bCs/>
          <w:color w:val="000000"/>
          <w:sz w:val="24"/>
          <w:lang w:eastAsia="zh-CN"/>
        </w:rPr>
        <w:t>通过8次专题访谈</w:t>
      </w:r>
      <w:r>
        <w:rPr>
          <w:rFonts w:hint="eastAsia" w:ascii="仿宋" w:hAnsi="仿宋" w:eastAsia="仿宋" w:cs="方正楷体_GB2312"/>
          <w:bCs/>
          <w:color w:val="000000"/>
          <w:sz w:val="24"/>
        </w:rPr>
        <w:t>，目前江西省</w:t>
      </w:r>
      <w:r>
        <w:rPr>
          <w:rFonts w:hint="eastAsia" w:ascii="仿宋" w:hAnsi="仿宋" w:eastAsia="仿宋" w:cs="楷体"/>
          <w:bCs/>
          <w:sz w:val="24"/>
        </w:rPr>
        <w:t>土地征收社会稳定风险评估收费存在以下几种形式：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Cs/>
          <w:sz w:val="24"/>
        </w:rPr>
      </w:pPr>
      <w:r>
        <w:rPr>
          <w:rFonts w:hint="eastAsia" w:ascii="仿宋" w:hAnsi="仿宋" w:eastAsia="仿宋" w:cs="楷体"/>
          <w:b/>
          <w:sz w:val="24"/>
          <w:lang w:val="en-US" w:eastAsia="zh-CN"/>
        </w:rPr>
        <w:t>1、</w:t>
      </w:r>
      <w:r>
        <w:rPr>
          <w:rFonts w:hint="eastAsia" w:ascii="仿宋" w:hAnsi="仿宋" w:eastAsia="仿宋" w:cs="楷体"/>
          <w:b/>
          <w:sz w:val="24"/>
        </w:rPr>
        <w:t>按亩收费：</w:t>
      </w:r>
      <w:r>
        <w:rPr>
          <w:rFonts w:hint="eastAsia" w:ascii="仿宋" w:hAnsi="仿宋" w:eastAsia="仿宋" w:cs="楷体"/>
          <w:bCs/>
          <w:sz w:val="24"/>
        </w:rPr>
        <w:t>以招投标的方式确定评估机构，投标时大概预估项目面积进行上报，单价为</w:t>
      </w:r>
      <w:r>
        <w:rPr>
          <w:rFonts w:hint="eastAsia" w:ascii="仿宋" w:hAnsi="仿宋" w:eastAsia="仿宋" w:cs="楷体"/>
          <w:b/>
          <w:sz w:val="24"/>
        </w:rPr>
        <w:t>200-450元/亩，</w:t>
      </w:r>
      <w:r>
        <w:rPr>
          <w:rFonts w:hint="eastAsia" w:ascii="仿宋" w:hAnsi="仿宋" w:eastAsia="仿宋" w:cs="楷体"/>
          <w:bCs/>
          <w:sz w:val="24"/>
        </w:rPr>
        <w:t>最终以项目实际面积进行结算。收费为200元/亩比较少，一般为涉及的行政村较少的，且需调研户数少的项目，普遍正常收费是在300-450元/亩。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Cs/>
          <w:sz w:val="24"/>
        </w:rPr>
      </w:pPr>
      <w:r>
        <w:rPr>
          <w:rFonts w:hint="eastAsia" w:ascii="仿宋" w:hAnsi="仿宋" w:eastAsia="仿宋" w:cs="楷体"/>
          <w:b/>
          <w:sz w:val="24"/>
          <w:lang w:val="en-US" w:eastAsia="zh-CN"/>
        </w:rPr>
        <w:t>2、</w:t>
      </w:r>
      <w:r>
        <w:rPr>
          <w:rFonts w:hint="eastAsia" w:ascii="仿宋" w:hAnsi="仿宋" w:eastAsia="仿宋" w:cs="楷体"/>
          <w:b/>
          <w:sz w:val="24"/>
        </w:rPr>
        <w:t>按项目收费</w:t>
      </w:r>
      <w:r>
        <w:rPr>
          <w:rFonts w:hint="eastAsia" w:ascii="仿宋" w:hAnsi="仿宋" w:eastAsia="仿宋" w:cs="楷体"/>
          <w:bCs/>
          <w:sz w:val="24"/>
        </w:rPr>
        <w:t>：目前有些区、县是由用地单位聘请律师事务所来做土地征收社会稳定风险评估，</w:t>
      </w:r>
      <w:r>
        <w:rPr>
          <w:rFonts w:hint="eastAsia" w:ascii="仿宋" w:hAnsi="仿宋" w:eastAsia="仿宋" w:cs="楷体"/>
          <w:bCs/>
          <w:sz w:val="24"/>
          <w:lang w:eastAsia="zh-CN"/>
        </w:rPr>
        <w:t>土地征收社会稳定风险评估</w:t>
      </w:r>
      <w:r>
        <w:rPr>
          <w:rFonts w:hint="eastAsia" w:ascii="仿宋" w:hAnsi="仿宋" w:eastAsia="仿宋" w:cs="楷体"/>
          <w:bCs/>
          <w:sz w:val="24"/>
        </w:rPr>
        <w:t>按项目收费，收费情况大概为：100亩以下收费一般为</w:t>
      </w:r>
      <w:r>
        <w:rPr>
          <w:rFonts w:hint="eastAsia" w:ascii="仿宋" w:hAnsi="仿宋" w:eastAsia="仿宋" w:cs="楷体"/>
          <w:b/>
          <w:sz w:val="24"/>
        </w:rPr>
        <w:t>1-3万元/个</w:t>
      </w:r>
      <w:r>
        <w:rPr>
          <w:rFonts w:hint="eastAsia" w:ascii="仿宋" w:hAnsi="仿宋" w:eastAsia="仿宋" w:cs="楷体"/>
          <w:bCs/>
          <w:sz w:val="24"/>
        </w:rPr>
        <w:t>，100亩以上收费一般为</w:t>
      </w:r>
      <w:r>
        <w:rPr>
          <w:rFonts w:hint="eastAsia" w:ascii="仿宋" w:hAnsi="仿宋" w:eastAsia="仿宋" w:cs="楷体"/>
          <w:b/>
          <w:sz w:val="24"/>
        </w:rPr>
        <w:t>3-6万元/个</w:t>
      </w:r>
      <w:r>
        <w:rPr>
          <w:rFonts w:hint="eastAsia" w:ascii="仿宋" w:hAnsi="仿宋" w:eastAsia="仿宋" w:cs="楷体"/>
          <w:bCs/>
          <w:sz w:val="24"/>
        </w:rPr>
        <w:t>，200亩以上为</w:t>
      </w:r>
      <w:r>
        <w:rPr>
          <w:rFonts w:hint="eastAsia" w:ascii="仿宋" w:hAnsi="仿宋" w:eastAsia="仿宋" w:cs="楷体"/>
          <w:b/>
          <w:sz w:val="24"/>
        </w:rPr>
        <w:t>7万元/个</w:t>
      </w:r>
      <w:r>
        <w:rPr>
          <w:rFonts w:hint="eastAsia" w:ascii="仿宋" w:hAnsi="仿宋" w:eastAsia="仿宋" w:cs="楷体"/>
          <w:bCs/>
          <w:sz w:val="24"/>
        </w:rPr>
        <w:t>。</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ascii="仿宋" w:hAnsi="仿宋" w:eastAsia="仿宋" w:cs="楷体"/>
          <w:bCs/>
          <w:sz w:val="24"/>
        </w:rPr>
      </w:pPr>
      <w:r>
        <w:rPr>
          <w:rFonts w:hint="eastAsia" w:ascii="仿宋" w:hAnsi="仿宋" w:eastAsia="仿宋" w:cs="楷体"/>
          <w:b/>
          <w:bCs w:val="0"/>
          <w:sz w:val="24"/>
        </w:rPr>
        <w:t>3、</w:t>
      </w:r>
      <w:r>
        <w:rPr>
          <w:rFonts w:hint="eastAsia" w:ascii="仿宋" w:hAnsi="仿宋" w:eastAsia="仿宋" w:cs="楷体"/>
          <w:b/>
          <w:sz w:val="24"/>
        </w:rPr>
        <w:t>按年收费</w:t>
      </w:r>
      <w:r>
        <w:rPr>
          <w:rFonts w:hint="eastAsia" w:ascii="仿宋" w:hAnsi="仿宋" w:eastAsia="仿宋" w:cs="楷体"/>
          <w:bCs/>
          <w:sz w:val="24"/>
        </w:rPr>
        <w:t>：部分区、县通过竞争性谈判或中介超市确定评估机构，收费大概为</w:t>
      </w:r>
      <w:r>
        <w:rPr>
          <w:rFonts w:hint="eastAsia" w:ascii="仿宋" w:hAnsi="仿宋" w:eastAsia="仿宋" w:cs="楷体"/>
          <w:b/>
          <w:sz w:val="24"/>
        </w:rPr>
        <w:t>30万元/年左右</w:t>
      </w:r>
      <w:r>
        <w:rPr>
          <w:rFonts w:hint="eastAsia" w:ascii="仿宋" w:hAnsi="仿宋" w:eastAsia="仿宋" w:cs="楷体"/>
          <w:bCs/>
          <w:sz w:val="24"/>
        </w:rPr>
        <w:t>。</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ascii="仿宋" w:hAnsi="仿宋" w:eastAsia="仿宋" w:cs="楷体"/>
          <w:b/>
          <w:sz w:val="24"/>
        </w:rPr>
      </w:pPr>
      <w:r>
        <w:rPr>
          <w:rFonts w:hint="eastAsia" w:ascii="仿宋" w:hAnsi="仿宋" w:eastAsia="仿宋" w:cs="楷体"/>
          <w:b/>
          <w:sz w:val="24"/>
        </w:rPr>
        <w:t>（五）目前土地征收社会稳定风险评估存在的问题</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t xml:space="preserve"> 目前土地征收社会稳定风险评估存在的问题主要有风险因素指标体系选择问题、参数选择问题，大部分凭经验、没有依据；部分报告存在评估结论与前文分析不吻合的情况，如前文分析的两个风险系数均为较高，后文的风险结论为一般，存在前后文逻辑矛盾的问题。</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
          <w:sz w:val="24"/>
        </w:rPr>
      </w:pPr>
      <w:r>
        <w:rPr>
          <w:rFonts w:hint="eastAsia" w:ascii="仿宋" w:hAnsi="仿宋" w:eastAsia="仿宋" w:cs="楷体"/>
          <w:b/>
          <w:sz w:val="24"/>
        </w:rPr>
        <w:t>（六）土地征收社会稳定风险评估的要求</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t>土地征收社会稳定风险评估是土地征收过程中的一项必不可少的程序，也因土地征收涉及到老百姓的切身利益，容易引起社会矛盾及行政诉讼，所以土地征收社会稳定风险评估务必做到有序、合理、合规、合法。</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t>土地征收社会稳定风险评估报告中的风险因素指标体系、参数选择应当合理、有据；问卷调查样本比例应根据统计学的要求确定合理的问卷调查比例，评估机构应对问卷调查的真实性负责。</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
          <w:sz w:val="24"/>
        </w:rPr>
      </w:pPr>
      <w:r>
        <w:rPr>
          <w:rFonts w:hint="eastAsia" w:ascii="仿宋" w:hAnsi="仿宋" w:eastAsia="仿宋" w:cs="楷体"/>
          <w:b/>
          <w:sz w:val="24"/>
        </w:rPr>
        <w:t>（七）土地征收社会稳定风险评估内容及程序</w:t>
      </w:r>
    </w:p>
    <w:p>
      <w:pPr>
        <w:keepNext w:val="0"/>
        <w:keepLines w:val="0"/>
        <w:pageBreakBefore w:val="0"/>
        <w:widowControl w:val="0"/>
        <w:kinsoku/>
        <w:wordWrap/>
        <w:overflowPunct/>
        <w:topLinePunct w:val="0"/>
        <w:autoSpaceDE/>
        <w:autoSpaceDN/>
        <w:bidi w:val="0"/>
        <w:adjustRightInd/>
        <w:snapToGrid/>
        <w:spacing w:line="560" w:lineRule="exact"/>
        <w:ind w:firstLine="723" w:firstLineChars="300"/>
        <w:textAlignment w:val="auto"/>
        <w:rPr>
          <w:rFonts w:ascii="仿宋" w:hAnsi="仿宋" w:eastAsia="仿宋" w:cs="楷体"/>
          <w:b/>
          <w:sz w:val="24"/>
        </w:rPr>
      </w:pPr>
      <w:r>
        <w:rPr>
          <w:rFonts w:hint="eastAsia" w:ascii="仿宋" w:hAnsi="仿宋" w:eastAsia="仿宋" w:cs="楷体"/>
          <w:b/>
          <w:sz w:val="24"/>
        </w:rPr>
        <w:t>1、土地征收稳定风险评估内容</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t>根据</w:t>
      </w:r>
      <w:r>
        <w:rPr>
          <w:rFonts w:hint="eastAsia" w:ascii="仿宋" w:hAnsi="仿宋" w:eastAsia="仿宋" w:cs="楷体"/>
          <w:bCs/>
          <w:sz w:val="24"/>
          <w:lang w:eastAsia="zh-CN"/>
        </w:rPr>
        <w:t>《江西省自然资源厅关于印发&lt;江西省土地征收社会稳定风险评估暂行办法&gt;的通知》（赣自然资〔2021〕1 号）</w:t>
      </w:r>
      <w:r>
        <w:rPr>
          <w:rFonts w:hint="eastAsia" w:ascii="仿宋" w:hAnsi="仿宋" w:eastAsia="仿宋" w:cs="楷体"/>
          <w:bCs/>
          <w:sz w:val="24"/>
        </w:rPr>
        <w:t>可知：土地征收社会稳定风险评估主要内容包括：</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Cs/>
          <w:sz w:val="24"/>
        </w:rPr>
      </w:pPr>
      <w:r>
        <w:rPr>
          <w:rFonts w:hint="eastAsia" w:ascii="仿宋" w:hAnsi="仿宋" w:eastAsia="仿宋" w:cs="楷体"/>
          <w:b/>
          <w:sz w:val="24"/>
        </w:rPr>
        <w:t>（1）合法性</w:t>
      </w:r>
      <w:r>
        <w:rPr>
          <w:rFonts w:hint="eastAsia" w:ascii="仿宋" w:hAnsi="仿宋" w:eastAsia="仿宋" w:cs="楷体"/>
          <w:bCs/>
          <w:sz w:val="24"/>
        </w:rPr>
        <w:t>。土地征收是否符合《土地管理法》等相关法律法规要求；是否符合公共利益的情形；是否符合当地国民经济和社会发展规划；是否符合国土空间规划、用地计划等；用地选址、用地规模是否科学合理；土地征收程序是否合法；补偿安置是否合法。</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Cs/>
          <w:sz w:val="24"/>
        </w:rPr>
      </w:pPr>
      <w:r>
        <w:rPr>
          <w:rFonts w:hint="eastAsia" w:ascii="仿宋" w:hAnsi="仿宋" w:eastAsia="仿宋" w:cs="楷体"/>
          <w:b/>
          <w:sz w:val="24"/>
        </w:rPr>
        <w:t>（2）合理性</w:t>
      </w:r>
      <w:r>
        <w:rPr>
          <w:rFonts w:hint="eastAsia" w:ascii="仿宋" w:hAnsi="仿宋" w:eastAsia="仿宋" w:cs="楷体"/>
          <w:bCs/>
          <w:sz w:val="24"/>
        </w:rPr>
        <w:t>。土地征收补偿安置是否合理，是否兼顾了被征地农民的当前和长远利益；拟采取的措施和手段是否必要、适当，是否维护了被征地农民的合法权益等。</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Cs/>
          <w:sz w:val="24"/>
        </w:rPr>
      </w:pPr>
      <w:r>
        <w:rPr>
          <w:rFonts w:hint="eastAsia" w:ascii="仿宋" w:hAnsi="仿宋" w:eastAsia="仿宋" w:cs="楷体"/>
          <w:b/>
          <w:sz w:val="24"/>
        </w:rPr>
        <w:t>（3）可行性</w:t>
      </w:r>
      <w:r>
        <w:rPr>
          <w:rFonts w:hint="eastAsia" w:ascii="仿宋" w:hAnsi="仿宋" w:eastAsia="仿宋" w:cs="楷体"/>
          <w:bCs/>
          <w:sz w:val="24"/>
        </w:rPr>
        <w:t>。土地征收的时机和条件是否成熟，是否制定具体、详实、可操作的征地工作方案和完善的配套措施；权属是否有争议，补偿安置经费能否落实；是否征求相关利益群体意见，是否开展了宣传解释工作，是否得到大多数群众的支持和认可，决策事项作出后是否能够顺利组织实施。</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Cs/>
          <w:sz w:val="24"/>
        </w:rPr>
      </w:pPr>
      <w:r>
        <w:rPr>
          <w:rFonts w:hint="eastAsia" w:ascii="仿宋" w:hAnsi="仿宋" w:eastAsia="仿宋" w:cs="楷体"/>
          <w:b/>
          <w:sz w:val="24"/>
        </w:rPr>
        <w:t>（4）可控性</w:t>
      </w:r>
      <w:r>
        <w:rPr>
          <w:rFonts w:hint="eastAsia" w:ascii="仿宋" w:hAnsi="仿宋" w:eastAsia="仿宋" w:cs="楷体"/>
          <w:bCs/>
          <w:sz w:val="24"/>
        </w:rPr>
        <w:t>。土地征收的决策是否会引发群体性事件、集体上访、重大社会治安问题，是否会引发社会负面舆论、恶意炒作以及其他影响社会稳定的问题；宣传解释和舆论引导措施是否充分；对可能出现的影响社会稳定的问题，是否制定相应的预测预警措施、应急预案和防范化解的对策措施，是否在可控范围之内。</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仿宋" w:hAnsi="仿宋" w:eastAsia="仿宋" w:cs="楷体"/>
          <w:b/>
          <w:sz w:val="24"/>
        </w:rPr>
      </w:pPr>
      <w:r>
        <w:rPr>
          <w:rFonts w:hint="eastAsia" w:cs="楷体"/>
          <w:b/>
          <w:sz w:val="24"/>
        </w:rPr>
        <w:t xml:space="preserve"> </w:t>
      </w:r>
      <w:r>
        <w:rPr>
          <w:rFonts w:hint="eastAsia" w:ascii="仿宋" w:hAnsi="仿宋" w:eastAsia="仿宋" w:cs="楷体"/>
          <w:b/>
          <w:sz w:val="24"/>
        </w:rPr>
        <w:t>2、土地征收稳定风险评估程序</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t>启动土地征收事项时，应提前或同步开展社会稳定风险评估工作。并根据不同情况，分别适用以下程序：</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
          <w:sz w:val="24"/>
        </w:rPr>
      </w:pPr>
      <w:r>
        <w:rPr>
          <w:rFonts w:hint="eastAsia" w:ascii="仿宋" w:hAnsi="仿宋" w:eastAsia="仿宋" w:cs="楷体"/>
          <w:b/>
          <w:sz w:val="24"/>
        </w:rPr>
        <w:t>（1）简易程序</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fldChar w:fldCharType="begin"/>
      </w:r>
      <w:r>
        <w:rPr>
          <w:rFonts w:hint="eastAsia" w:ascii="仿宋" w:hAnsi="仿宋" w:eastAsia="仿宋" w:cs="楷体"/>
          <w:bCs/>
          <w:sz w:val="24"/>
        </w:rPr>
        <w:instrText xml:space="preserve"> = 1 \* GB3 \* MERGEFORMAT </w:instrText>
      </w:r>
      <w:r>
        <w:rPr>
          <w:rFonts w:hint="eastAsia" w:ascii="仿宋" w:hAnsi="仿宋" w:eastAsia="仿宋" w:cs="楷体"/>
          <w:bCs/>
          <w:sz w:val="24"/>
        </w:rPr>
        <w:fldChar w:fldCharType="separate"/>
      </w:r>
      <w:r>
        <w:rPr>
          <w:rFonts w:hint="eastAsia" w:ascii="仿宋" w:hAnsi="仿宋" w:eastAsia="仿宋" w:cs="楷体"/>
          <w:bCs/>
          <w:sz w:val="24"/>
        </w:rPr>
        <w:t>①</w:t>
      </w:r>
      <w:r>
        <w:rPr>
          <w:rFonts w:hint="eastAsia" w:ascii="仿宋" w:hAnsi="仿宋" w:eastAsia="仿宋" w:cs="楷体"/>
          <w:bCs/>
          <w:sz w:val="24"/>
        </w:rPr>
        <w:fldChar w:fldCharType="end"/>
      </w:r>
      <w:r>
        <w:rPr>
          <w:rFonts w:hint="eastAsia" w:ascii="仿宋" w:hAnsi="仿宋" w:eastAsia="仿宋" w:cs="楷体"/>
          <w:bCs/>
          <w:sz w:val="24"/>
        </w:rPr>
        <w:t>向政法委提交《江西省重大决策社会稳定风险评估申报表》。</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fldChar w:fldCharType="begin"/>
      </w:r>
      <w:r>
        <w:rPr>
          <w:rFonts w:hint="eastAsia" w:ascii="仿宋" w:hAnsi="仿宋" w:eastAsia="仿宋" w:cs="楷体"/>
          <w:bCs/>
          <w:sz w:val="24"/>
        </w:rPr>
        <w:instrText xml:space="preserve"> = 2 \* GB3 \* MERGEFORMAT </w:instrText>
      </w:r>
      <w:r>
        <w:rPr>
          <w:rFonts w:hint="eastAsia" w:ascii="仿宋" w:hAnsi="仿宋" w:eastAsia="仿宋" w:cs="楷体"/>
          <w:bCs/>
          <w:sz w:val="24"/>
        </w:rPr>
        <w:fldChar w:fldCharType="separate"/>
      </w:r>
      <w:r>
        <w:rPr>
          <w:rFonts w:hint="eastAsia" w:ascii="仿宋" w:hAnsi="仿宋" w:eastAsia="仿宋" w:cs="楷体"/>
          <w:bCs/>
          <w:sz w:val="24"/>
        </w:rPr>
        <w:t>②</w:t>
      </w:r>
      <w:r>
        <w:rPr>
          <w:rFonts w:hint="eastAsia" w:ascii="仿宋" w:hAnsi="仿宋" w:eastAsia="仿宋" w:cs="楷体"/>
          <w:bCs/>
          <w:sz w:val="24"/>
        </w:rPr>
        <w:fldChar w:fldCharType="end"/>
      </w:r>
      <w:r>
        <w:rPr>
          <w:rFonts w:hint="eastAsia" w:ascii="仿宋" w:hAnsi="仿宋" w:eastAsia="仿宋" w:cs="楷体"/>
          <w:bCs/>
          <w:sz w:val="24"/>
        </w:rPr>
        <w:t>收集评估事项相关资料，开展综合研判分析，预判可能出现的社会稳定风险，研究防范化解措施。</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fldChar w:fldCharType="begin"/>
      </w:r>
      <w:r>
        <w:rPr>
          <w:rFonts w:hint="eastAsia" w:ascii="仿宋" w:hAnsi="仿宋" w:eastAsia="仿宋" w:cs="楷体"/>
          <w:bCs/>
          <w:sz w:val="24"/>
        </w:rPr>
        <w:instrText xml:space="preserve"> = 3 \* GB3 \* MERGEFORMAT </w:instrText>
      </w:r>
      <w:r>
        <w:rPr>
          <w:rFonts w:hint="eastAsia" w:ascii="仿宋" w:hAnsi="仿宋" w:eastAsia="仿宋" w:cs="楷体"/>
          <w:bCs/>
          <w:sz w:val="24"/>
        </w:rPr>
        <w:fldChar w:fldCharType="separate"/>
      </w:r>
      <w:r>
        <w:rPr>
          <w:rFonts w:hint="eastAsia" w:ascii="仿宋" w:hAnsi="仿宋" w:eastAsia="仿宋" w:cs="楷体"/>
          <w:bCs/>
          <w:sz w:val="24"/>
        </w:rPr>
        <w:t>③</w:t>
      </w:r>
      <w:r>
        <w:rPr>
          <w:rFonts w:hint="eastAsia" w:ascii="仿宋" w:hAnsi="仿宋" w:eastAsia="仿宋" w:cs="楷体"/>
          <w:bCs/>
          <w:sz w:val="24"/>
        </w:rPr>
        <w:fldChar w:fldCharType="end"/>
      </w:r>
      <w:r>
        <w:rPr>
          <w:rFonts w:hint="eastAsia" w:ascii="仿宋" w:hAnsi="仿宋" w:eastAsia="仿宋" w:cs="楷体"/>
          <w:bCs/>
          <w:sz w:val="24"/>
        </w:rPr>
        <w:t>形成社会稳定风险评估报告。包括事项的基本情况、围绕合法性、合理性、可行性、可控性等方面开展的调研、核查和走访座谈听取的意见、风险分析、防范化解措施及作出评估结论等内容。</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sz w:val="24"/>
        </w:rPr>
      </w:pPr>
      <w:r>
        <w:rPr>
          <w:rFonts w:hint="eastAsia" w:ascii="仿宋" w:hAnsi="仿宋" w:eastAsia="仿宋" w:cs="楷体"/>
          <w:bCs/>
          <w:sz w:val="24"/>
        </w:rPr>
        <w:fldChar w:fldCharType="begin"/>
      </w:r>
      <w:r>
        <w:rPr>
          <w:rFonts w:hint="eastAsia" w:ascii="仿宋" w:hAnsi="仿宋" w:eastAsia="仿宋" w:cs="楷体"/>
          <w:bCs/>
          <w:sz w:val="24"/>
        </w:rPr>
        <w:instrText xml:space="preserve"> = 4 \* GB3 \* MERGEFORMAT </w:instrText>
      </w:r>
      <w:r>
        <w:rPr>
          <w:rFonts w:hint="eastAsia" w:ascii="仿宋" w:hAnsi="仿宋" w:eastAsia="仿宋" w:cs="楷体"/>
          <w:bCs/>
          <w:sz w:val="24"/>
        </w:rPr>
        <w:fldChar w:fldCharType="separate"/>
      </w:r>
      <w:r>
        <w:rPr>
          <w:rFonts w:hint="eastAsia" w:ascii="仿宋" w:hAnsi="仿宋" w:eastAsia="仿宋" w:cs="楷体"/>
          <w:bCs/>
          <w:sz w:val="24"/>
        </w:rPr>
        <w:t>④</w:t>
      </w:r>
      <w:r>
        <w:rPr>
          <w:rFonts w:hint="eastAsia" w:ascii="仿宋" w:hAnsi="仿宋" w:eastAsia="仿宋" w:cs="楷体"/>
          <w:bCs/>
          <w:sz w:val="24"/>
        </w:rPr>
        <w:fldChar w:fldCharType="end"/>
      </w:r>
      <w:r>
        <w:rPr>
          <w:rFonts w:hint="eastAsia" w:ascii="仿宋" w:hAnsi="仿宋" w:eastAsia="仿宋" w:cs="楷体"/>
          <w:bCs/>
          <w:sz w:val="24"/>
        </w:rPr>
        <w:t>评估报告备案。送交《江西省重大决策社会稳定风险评估备案表》及评估报告到政法委备案</w:t>
      </w:r>
      <w:r>
        <w:rPr>
          <w:spacing w:val="-11"/>
          <w:sz w:val="24"/>
        </w:rPr>
        <w:t>。</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
          <w:sz w:val="24"/>
        </w:rPr>
      </w:pPr>
      <w:r>
        <w:rPr>
          <w:rFonts w:hint="eastAsia" w:ascii="仿宋" w:hAnsi="仿宋" w:eastAsia="仿宋" w:cs="楷体"/>
          <w:b/>
          <w:sz w:val="24"/>
        </w:rPr>
        <w:t>（2）普通程序</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Cs/>
          <w:sz w:val="24"/>
        </w:rPr>
      </w:pPr>
      <w:r>
        <w:rPr>
          <w:rFonts w:hint="eastAsia" w:ascii="仿宋" w:hAnsi="仿宋" w:eastAsia="仿宋" w:cs="楷体"/>
          <w:b/>
          <w:sz w:val="24"/>
        </w:rPr>
        <w:fldChar w:fldCharType="begin"/>
      </w:r>
      <w:r>
        <w:rPr>
          <w:rFonts w:hint="eastAsia" w:ascii="仿宋" w:hAnsi="仿宋" w:eastAsia="仿宋" w:cs="楷体"/>
          <w:b/>
          <w:sz w:val="24"/>
        </w:rPr>
        <w:instrText xml:space="preserve"> = 1 \* GB3 \* MERGEFORMAT </w:instrText>
      </w:r>
      <w:r>
        <w:rPr>
          <w:rFonts w:hint="eastAsia" w:ascii="仿宋" w:hAnsi="仿宋" w:eastAsia="仿宋" w:cs="楷体"/>
          <w:b/>
          <w:sz w:val="24"/>
        </w:rPr>
        <w:fldChar w:fldCharType="separate"/>
      </w:r>
      <w:r>
        <w:rPr>
          <w:rFonts w:hint="eastAsia" w:ascii="仿宋" w:hAnsi="仿宋" w:eastAsia="仿宋" w:cs="楷体"/>
          <w:b/>
          <w:sz w:val="24"/>
        </w:rPr>
        <w:t>①</w:t>
      </w:r>
      <w:r>
        <w:rPr>
          <w:rFonts w:hint="eastAsia" w:ascii="仿宋" w:hAnsi="仿宋" w:eastAsia="仿宋" w:cs="楷体"/>
          <w:b/>
          <w:sz w:val="24"/>
        </w:rPr>
        <w:fldChar w:fldCharType="end"/>
      </w:r>
      <w:r>
        <w:rPr>
          <w:rFonts w:hint="eastAsia" w:ascii="仿宋" w:hAnsi="仿宋" w:eastAsia="仿宋" w:cs="楷体"/>
          <w:b/>
          <w:sz w:val="24"/>
        </w:rPr>
        <w:t>制定评估工作方案。</w:t>
      </w:r>
      <w:r>
        <w:rPr>
          <w:rFonts w:hint="eastAsia" w:ascii="仿宋" w:hAnsi="仿宋" w:eastAsia="仿宋" w:cs="楷体"/>
          <w:bCs/>
          <w:sz w:val="24"/>
        </w:rPr>
        <w:t>明确评估目的、评估对象与内容、评估标准、评估步骤与方法、时间安排等。</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Cs/>
          <w:sz w:val="24"/>
        </w:rPr>
      </w:pPr>
      <w:r>
        <w:rPr>
          <w:rFonts w:hint="eastAsia" w:ascii="仿宋" w:hAnsi="仿宋" w:eastAsia="仿宋" w:cs="楷体"/>
          <w:b/>
          <w:sz w:val="24"/>
        </w:rPr>
        <w:fldChar w:fldCharType="begin"/>
      </w:r>
      <w:r>
        <w:rPr>
          <w:rFonts w:hint="eastAsia" w:ascii="仿宋" w:hAnsi="仿宋" w:eastAsia="仿宋" w:cs="楷体"/>
          <w:b/>
          <w:sz w:val="24"/>
        </w:rPr>
        <w:instrText xml:space="preserve"> = 2 \* GB3 \* MERGEFORMAT </w:instrText>
      </w:r>
      <w:r>
        <w:rPr>
          <w:rFonts w:hint="eastAsia" w:ascii="仿宋" w:hAnsi="仿宋" w:eastAsia="仿宋" w:cs="楷体"/>
          <w:b/>
          <w:sz w:val="24"/>
        </w:rPr>
        <w:fldChar w:fldCharType="separate"/>
      </w:r>
      <w:r>
        <w:rPr>
          <w:rFonts w:hint="eastAsia" w:ascii="仿宋" w:hAnsi="仿宋" w:eastAsia="仿宋" w:cs="楷体"/>
          <w:b/>
          <w:sz w:val="24"/>
        </w:rPr>
        <w:t>②</w:t>
      </w:r>
      <w:r>
        <w:rPr>
          <w:rFonts w:hint="eastAsia" w:ascii="仿宋" w:hAnsi="仿宋" w:eastAsia="仿宋" w:cs="楷体"/>
          <w:b/>
          <w:sz w:val="24"/>
        </w:rPr>
        <w:fldChar w:fldCharType="end"/>
      </w:r>
      <w:r>
        <w:rPr>
          <w:rFonts w:hint="eastAsia" w:ascii="仿宋" w:hAnsi="仿宋" w:eastAsia="仿宋" w:cs="楷体"/>
          <w:b/>
          <w:sz w:val="24"/>
        </w:rPr>
        <w:t>进行评估申报。</w:t>
      </w:r>
      <w:r>
        <w:rPr>
          <w:rFonts w:hint="eastAsia" w:ascii="仿宋" w:hAnsi="仿宋" w:eastAsia="仿宋" w:cs="楷体"/>
          <w:bCs/>
          <w:sz w:val="24"/>
        </w:rPr>
        <w:t>向政法委提交《江西省重大决策社会稳定风险评估申报表》，接受工作指导。</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Cs/>
          <w:sz w:val="24"/>
        </w:rPr>
      </w:pPr>
      <w:r>
        <w:rPr>
          <w:rFonts w:hint="eastAsia" w:ascii="仿宋" w:hAnsi="仿宋" w:eastAsia="仿宋" w:cs="楷体"/>
          <w:b/>
          <w:sz w:val="24"/>
        </w:rPr>
        <w:fldChar w:fldCharType="begin"/>
      </w:r>
      <w:r>
        <w:rPr>
          <w:rFonts w:hint="eastAsia" w:ascii="仿宋" w:hAnsi="仿宋" w:eastAsia="仿宋" w:cs="楷体"/>
          <w:b/>
          <w:sz w:val="24"/>
        </w:rPr>
        <w:instrText xml:space="preserve"> = 3 \* GB3 \* MERGEFORMAT </w:instrText>
      </w:r>
      <w:r>
        <w:rPr>
          <w:rFonts w:hint="eastAsia" w:ascii="仿宋" w:hAnsi="仿宋" w:eastAsia="仿宋" w:cs="楷体"/>
          <w:b/>
          <w:sz w:val="24"/>
        </w:rPr>
        <w:fldChar w:fldCharType="separate"/>
      </w:r>
      <w:r>
        <w:rPr>
          <w:rFonts w:hint="eastAsia" w:ascii="仿宋" w:hAnsi="仿宋" w:eastAsia="仿宋" w:cs="楷体"/>
          <w:b/>
          <w:sz w:val="24"/>
        </w:rPr>
        <w:t>③</w:t>
      </w:r>
      <w:r>
        <w:rPr>
          <w:rFonts w:hint="eastAsia" w:ascii="仿宋" w:hAnsi="仿宋" w:eastAsia="仿宋" w:cs="楷体"/>
          <w:b/>
          <w:sz w:val="24"/>
        </w:rPr>
        <w:fldChar w:fldCharType="end"/>
      </w:r>
      <w:r>
        <w:rPr>
          <w:rFonts w:hint="eastAsia" w:ascii="仿宋" w:hAnsi="仿宋" w:eastAsia="仿宋" w:cs="楷体"/>
          <w:b/>
          <w:sz w:val="24"/>
        </w:rPr>
        <w:t>开展民意调查。</w:t>
      </w:r>
      <w:r>
        <w:rPr>
          <w:rFonts w:hint="eastAsia" w:ascii="仿宋" w:hAnsi="仿宋" w:eastAsia="仿宋" w:cs="楷体"/>
          <w:bCs/>
          <w:sz w:val="24"/>
        </w:rPr>
        <w:t>根据拟定的评估方案，采取现场和网上公示、舆情调查、问卷调查、走访和召开座谈会等方式，听取利益相关方和社会公众的意见和建议。</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Cs/>
          <w:sz w:val="24"/>
        </w:rPr>
      </w:pPr>
      <w:r>
        <w:rPr>
          <w:rFonts w:hint="eastAsia" w:ascii="仿宋" w:hAnsi="仿宋" w:eastAsia="仿宋" w:cs="楷体"/>
          <w:b/>
          <w:sz w:val="24"/>
        </w:rPr>
        <w:fldChar w:fldCharType="begin"/>
      </w:r>
      <w:r>
        <w:rPr>
          <w:rFonts w:hint="eastAsia" w:ascii="仿宋" w:hAnsi="仿宋" w:eastAsia="仿宋" w:cs="楷体"/>
          <w:b/>
          <w:sz w:val="24"/>
        </w:rPr>
        <w:instrText xml:space="preserve"> = 4 \* GB3 \* MERGEFORMAT </w:instrText>
      </w:r>
      <w:r>
        <w:rPr>
          <w:rFonts w:hint="eastAsia" w:ascii="仿宋" w:hAnsi="仿宋" w:eastAsia="仿宋" w:cs="楷体"/>
          <w:b/>
          <w:sz w:val="24"/>
        </w:rPr>
        <w:fldChar w:fldCharType="separate"/>
      </w:r>
      <w:r>
        <w:rPr>
          <w:rFonts w:hint="eastAsia" w:ascii="仿宋" w:hAnsi="仿宋" w:eastAsia="仿宋" w:cs="楷体"/>
          <w:b/>
          <w:sz w:val="24"/>
        </w:rPr>
        <w:t>④</w:t>
      </w:r>
      <w:r>
        <w:rPr>
          <w:rFonts w:hint="eastAsia" w:ascii="仿宋" w:hAnsi="仿宋" w:eastAsia="仿宋" w:cs="楷体"/>
          <w:b/>
          <w:sz w:val="24"/>
        </w:rPr>
        <w:fldChar w:fldCharType="end"/>
      </w:r>
      <w:r>
        <w:rPr>
          <w:rFonts w:hint="eastAsia" w:ascii="仿宋" w:hAnsi="仿宋" w:eastAsia="仿宋" w:cs="楷体"/>
          <w:b/>
          <w:sz w:val="24"/>
        </w:rPr>
        <w:t>组织开展论证。</w:t>
      </w:r>
      <w:r>
        <w:rPr>
          <w:rFonts w:hint="eastAsia" w:ascii="仿宋" w:hAnsi="仿宋" w:eastAsia="仿宋" w:cs="楷体"/>
          <w:bCs/>
          <w:sz w:val="24"/>
        </w:rPr>
        <w:t>全面梳理民意，理清群众的主流意见及核心诉求；针对群众的意见和诉求，对可能存在的社会稳定风险进行预测评估，并研究提出化解的措施和办法；组织专家论证，专家论证主要由专家、当地熟悉情况乡村干部、群众代表组成，对开展稳评工作的方式方法、所作的风险分析预测以及提出的应对措施、评估初步结论进行综合评价，并进行研究完善，论证结束后出具论证意见。</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Cs/>
          <w:sz w:val="24"/>
        </w:rPr>
      </w:pPr>
      <w:r>
        <w:rPr>
          <w:rFonts w:hint="eastAsia" w:ascii="仿宋" w:hAnsi="仿宋" w:eastAsia="仿宋" w:cs="楷体"/>
          <w:b/>
          <w:sz w:val="24"/>
        </w:rPr>
        <w:fldChar w:fldCharType="begin"/>
      </w:r>
      <w:r>
        <w:rPr>
          <w:rFonts w:hint="eastAsia" w:ascii="仿宋" w:hAnsi="仿宋" w:eastAsia="仿宋" w:cs="楷体"/>
          <w:b/>
          <w:sz w:val="24"/>
        </w:rPr>
        <w:instrText xml:space="preserve"> = 5 \* GB3 \* MERGEFORMAT </w:instrText>
      </w:r>
      <w:r>
        <w:rPr>
          <w:rFonts w:hint="eastAsia" w:ascii="仿宋" w:hAnsi="仿宋" w:eastAsia="仿宋" w:cs="楷体"/>
          <w:b/>
          <w:sz w:val="24"/>
        </w:rPr>
        <w:fldChar w:fldCharType="separate"/>
      </w:r>
      <w:r>
        <w:rPr>
          <w:rFonts w:hint="eastAsia" w:ascii="仿宋" w:hAnsi="仿宋" w:eastAsia="仿宋" w:cs="楷体"/>
          <w:b/>
          <w:sz w:val="24"/>
        </w:rPr>
        <w:t>⑤</w:t>
      </w:r>
      <w:r>
        <w:rPr>
          <w:rFonts w:hint="eastAsia" w:ascii="仿宋" w:hAnsi="仿宋" w:eastAsia="仿宋" w:cs="楷体"/>
          <w:b/>
          <w:sz w:val="24"/>
        </w:rPr>
        <w:fldChar w:fldCharType="end"/>
      </w:r>
      <w:r>
        <w:rPr>
          <w:rFonts w:hint="eastAsia" w:ascii="仿宋" w:hAnsi="仿宋" w:eastAsia="仿宋" w:cs="楷体"/>
          <w:b/>
          <w:sz w:val="24"/>
        </w:rPr>
        <w:t>确定风险等级。</w:t>
      </w:r>
      <w:r>
        <w:rPr>
          <w:rFonts w:hint="eastAsia" w:ascii="仿宋" w:hAnsi="仿宋" w:eastAsia="仿宋" w:cs="楷体"/>
          <w:bCs/>
          <w:sz w:val="24"/>
        </w:rPr>
        <w:t>以问题化解为导向，根据调查和论证情况，按照低风险（C级）、中风险（B级）、高风险（A级）三个标准确定风险等级：</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t>低风险（C级）：调查与论证阶段发现的风险点、风险源，通过调整决策预案或采取相应化解措施，能够全部得到有效化解的。</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t>中风险（B级）：调查与论证阶段发现的风险点、风险源，通过调整决策预案或采取相应化解措施，大部分能够得到有效化解，剩余未化解的风险点、风险源不会造成矛盾对立、问题激化的。</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t>高风险（A级）：调查与论证阶段发现的风险点、风险源，通过调整决策预案或采取相应化解措施，多数无法得到有效化解，或者剩余未化解的风险点、风险源矛盾对立尖锐、容易引发不稳定事端的。</w:t>
      </w:r>
    </w:p>
    <w:p>
      <w:pPr>
        <w:pStyle w:val="14"/>
        <w:keepNext w:val="0"/>
        <w:keepLines w:val="0"/>
        <w:pageBreakBefore w:val="0"/>
        <w:widowControl w:val="0"/>
        <w:tabs>
          <w:tab w:val="left" w:pos="1074"/>
        </w:tabs>
        <w:kinsoku/>
        <w:wordWrap/>
        <w:overflowPunct/>
        <w:topLinePunct w:val="0"/>
        <w:autoSpaceDE/>
        <w:autoSpaceDN/>
        <w:bidi w:val="0"/>
        <w:adjustRightInd/>
        <w:snapToGrid/>
        <w:spacing w:line="560" w:lineRule="exact"/>
        <w:ind w:left="0" w:firstLine="482" w:firstLineChars="200"/>
        <w:textAlignment w:val="auto"/>
        <w:rPr>
          <w:rFonts w:hint="eastAsia" w:cs="楷体"/>
          <w:bCs/>
          <w:sz w:val="24"/>
          <w:lang w:val="en-US" w:bidi="ar-SA"/>
        </w:rPr>
      </w:pPr>
      <w:r>
        <w:rPr>
          <w:rFonts w:hint="eastAsia" w:cs="楷体"/>
          <w:b/>
          <w:sz w:val="24"/>
          <w:lang w:val="en-US" w:bidi="ar-SA"/>
        </w:rPr>
        <w:fldChar w:fldCharType="begin"/>
      </w:r>
      <w:r>
        <w:rPr>
          <w:rFonts w:hint="eastAsia" w:cs="楷体"/>
          <w:b/>
          <w:sz w:val="24"/>
          <w:lang w:val="en-US" w:bidi="ar-SA"/>
        </w:rPr>
        <w:instrText xml:space="preserve"> = 6 \* GB3 \* MERGEFORMAT </w:instrText>
      </w:r>
      <w:r>
        <w:rPr>
          <w:rFonts w:hint="eastAsia" w:cs="楷体"/>
          <w:b/>
          <w:sz w:val="24"/>
          <w:lang w:val="en-US" w:bidi="ar-SA"/>
        </w:rPr>
        <w:fldChar w:fldCharType="separate"/>
      </w:r>
      <w:r>
        <w:rPr>
          <w:rFonts w:hint="eastAsia" w:cs="楷体"/>
          <w:b/>
          <w:sz w:val="24"/>
          <w:lang w:val="en-US" w:bidi="ar-SA"/>
        </w:rPr>
        <w:t>⑥</w:t>
      </w:r>
      <w:r>
        <w:rPr>
          <w:rFonts w:hint="eastAsia" w:cs="楷体"/>
          <w:b/>
          <w:sz w:val="24"/>
          <w:lang w:val="en-US" w:bidi="ar-SA"/>
        </w:rPr>
        <w:fldChar w:fldCharType="end"/>
      </w:r>
      <w:r>
        <w:rPr>
          <w:rFonts w:hint="eastAsia" w:cs="楷体"/>
          <w:b/>
          <w:sz w:val="24"/>
          <w:lang w:val="en-US" w:bidi="ar-SA"/>
        </w:rPr>
        <w:t>编制评估报告。</w:t>
      </w:r>
      <w:r>
        <w:rPr>
          <w:rFonts w:hint="eastAsia" w:cs="楷体"/>
          <w:bCs/>
          <w:sz w:val="24"/>
          <w:lang w:val="en-US" w:bidi="ar-SA"/>
        </w:rPr>
        <w:t>土地征收社会稳定风险评估报告包括评估事项和评估过程，各方意见采纳情况，决策可能引发的社会稳定风险，风险评估结论和对策建议，风险防范和化解措施及应急预案制定情况等内容。</w:t>
      </w:r>
    </w:p>
    <w:p>
      <w:pPr>
        <w:pStyle w:val="14"/>
        <w:keepNext w:val="0"/>
        <w:keepLines w:val="0"/>
        <w:pageBreakBefore w:val="0"/>
        <w:widowControl w:val="0"/>
        <w:tabs>
          <w:tab w:val="left" w:pos="1074"/>
        </w:tabs>
        <w:kinsoku/>
        <w:wordWrap/>
        <w:overflowPunct/>
        <w:topLinePunct w:val="0"/>
        <w:autoSpaceDE/>
        <w:autoSpaceDN/>
        <w:bidi w:val="0"/>
        <w:adjustRightInd/>
        <w:snapToGrid/>
        <w:spacing w:line="560" w:lineRule="exact"/>
        <w:ind w:left="0" w:firstLine="482" w:firstLineChars="200"/>
        <w:textAlignment w:val="auto"/>
        <w:rPr>
          <w:rFonts w:hint="eastAsia" w:cs="楷体"/>
          <w:bCs/>
          <w:sz w:val="24"/>
          <w:lang w:val="en-US" w:bidi="ar-SA"/>
        </w:rPr>
      </w:pPr>
      <w:r>
        <w:rPr>
          <w:rFonts w:hint="eastAsia" w:cs="楷体"/>
          <w:b/>
          <w:sz w:val="24"/>
          <w:lang w:val="en-US" w:bidi="ar-SA"/>
        </w:rPr>
        <w:fldChar w:fldCharType="begin"/>
      </w:r>
      <w:r>
        <w:rPr>
          <w:rFonts w:hint="eastAsia" w:cs="楷体"/>
          <w:b/>
          <w:sz w:val="24"/>
          <w:lang w:val="en-US" w:bidi="ar-SA"/>
        </w:rPr>
        <w:instrText xml:space="preserve"> = 7 \* GB3 \* MERGEFORMAT </w:instrText>
      </w:r>
      <w:r>
        <w:rPr>
          <w:rFonts w:hint="eastAsia" w:cs="楷体"/>
          <w:b/>
          <w:sz w:val="24"/>
          <w:lang w:val="en-US" w:bidi="ar-SA"/>
        </w:rPr>
        <w:fldChar w:fldCharType="separate"/>
      </w:r>
      <w:r>
        <w:rPr>
          <w:rFonts w:hint="eastAsia" w:cs="楷体"/>
          <w:b/>
          <w:sz w:val="24"/>
          <w:lang w:val="en-US" w:bidi="ar-SA"/>
        </w:rPr>
        <w:t>⑦</w:t>
      </w:r>
      <w:r>
        <w:rPr>
          <w:rFonts w:hint="eastAsia" w:cs="楷体"/>
          <w:b/>
          <w:sz w:val="24"/>
          <w:lang w:val="en-US" w:bidi="ar-SA"/>
        </w:rPr>
        <w:fldChar w:fldCharType="end"/>
      </w:r>
      <w:r>
        <w:rPr>
          <w:rFonts w:hint="eastAsia" w:cs="楷体"/>
          <w:b/>
          <w:sz w:val="24"/>
          <w:lang w:val="en-US" w:bidi="ar-SA"/>
        </w:rPr>
        <w:t>评估报告备案。</w:t>
      </w:r>
      <w:r>
        <w:rPr>
          <w:rFonts w:hint="eastAsia" w:cs="楷体"/>
          <w:bCs/>
          <w:sz w:val="24"/>
          <w:lang w:val="en-US" w:bidi="ar-SA"/>
        </w:rPr>
        <w:t>送交《江西省重大决策社会稳定风险评估备案表》及评估报告到政法委备案。备案后，应将有关材料归档保存。</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left"/>
        <w:textAlignment w:val="auto"/>
        <w:rPr>
          <w:rFonts w:hint="eastAsia" w:ascii="仿宋" w:hAnsi="仿宋" w:eastAsia="仿宋" w:cs="楷体"/>
          <w:b/>
          <w:sz w:val="24"/>
        </w:rPr>
      </w:pPr>
      <w:r>
        <w:rPr>
          <w:rFonts w:hint="eastAsia" w:ascii="仿宋" w:hAnsi="仿宋" w:eastAsia="仿宋" w:cs="楷体"/>
          <w:b/>
          <w:sz w:val="24"/>
        </w:rPr>
        <w:t>（八）土地征收社会稳定风险评估服务成本测算</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楷体"/>
          <w:bCs/>
          <w:sz w:val="24"/>
        </w:rPr>
      </w:pPr>
      <w:r>
        <w:rPr>
          <w:rFonts w:hint="eastAsia" w:ascii="仿宋" w:hAnsi="仿宋" w:eastAsia="仿宋" w:cs="楷体"/>
          <w:bCs/>
          <w:sz w:val="24"/>
        </w:rPr>
        <w:t>按照《江西省自然资源厅关于印发&lt;江西省土地征收社会稳定风险评估暂行办法&gt;的通知》（赣自然资〔2021〕1号）规定的土地征收社会稳定风险评估内容及程序，以一个500亩项目为例，保质保量达到《江西省土地征收社会稳定风险评估暂行办法》要求条件下，测算出一个500亩项目土地征收社会稳定风险评估服务成本。</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
          <w:sz w:val="24"/>
        </w:rPr>
      </w:pPr>
      <w:r>
        <w:rPr>
          <w:rFonts w:hint="eastAsia" w:ascii="仿宋" w:hAnsi="仿宋" w:eastAsia="仿宋" w:cs="楷体"/>
          <w:b/>
          <w:sz w:val="24"/>
        </w:rPr>
        <w:t>制定评估工作方案</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t>工作内容为：明确评估目的、评估对象与内容、评估标准、评估步骤与方法、时间安排等。</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楷体"/>
          <w:bCs/>
          <w:sz w:val="24"/>
        </w:rPr>
      </w:pPr>
      <w:r>
        <w:rPr>
          <w:rFonts w:hint="eastAsia" w:ascii="仿宋" w:hAnsi="仿宋" w:eastAsia="仿宋" w:cs="楷体"/>
          <w:bCs/>
          <w:sz w:val="24"/>
        </w:rPr>
        <w:t>此项工作需一名有项目经验的项目经理（土地估价师）及一名土地估价师完成，具体成本详见下表：</w:t>
      </w:r>
    </w:p>
    <w:p>
      <w:pPr>
        <w:spacing w:line="0" w:lineRule="atLeast"/>
        <w:ind w:firstLine="641"/>
        <w:jc w:val="center"/>
        <w:rPr>
          <w:rFonts w:hint="eastAsia" w:ascii="仿宋" w:hAnsi="仿宋" w:eastAsia="仿宋" w:cs="楷体"/>
          <w:b/>
          <w:sz w:val="24"/>
        </w:rPr>
      </w:pPr>
    </w:p>
    <w:p>
      <w:pPr>
        <w:spacing w:line="0" w:lineRule="atLeast"/>
        <w:ind w:firstLine="641"/>
        <w:jc w:val="center"/>
        <w:rPr>
          <w:rFonts w:hint="eastAsia" w:ascii="仿宋" w:hAnsi="仿宋" w:eastAsia="仿宋" w:cs="楷体"/>
          <w:b/>
          <w:sz w:val="24"/>
          <w:lang w:eastAsia="zh-CN"/>
        </w:rPr>
      </w:pPr>
      <w:r>
        <w:rPr>
          <w:rFonts w:hint="eastAsia" w:ascii="仿宋" w:hAnsi="仿宋" w:eastAsia="仿宋" w:cs="楷体"/>
          <w:b/>
          <w:sz w:val="24"/>
        </w:rPr>
        <w:t xml:space="preserve"> </w:t>
      </w:r>
      <w:r>
        <w:rPr>
          <w:rFonts w:ascii="仿宋" w:hAnsi="仿宋" w:eastAsia="仿宋" w:cs="楷体"/>
          <w:b/>
          <w:sz w:val="24"/>
        </w:rPr>
        <w:t xml:space="preserve">              </w:t>
      </w:r>
      <w:r>
        <w:rPr>
          <w:rFonts w:hint="eastAsia" w:ascii="仿宋" w:hAnsi="仿宋" w:eastAsia="仿宋" w:cs="楷体"/>
          <w:b/>
          <w:sz w:val="24"/>
        </w:rPr>
        <w:t xml:space="preserve">制定评估工作方案成本 </w:t>
      </w:r>
      <w:r>
        <w:rPr>
          <w:rFonts w:ascii="仿宋" w:hAnsi="仿宋" w:eastAsia="仿宋" w:cs="楷体"/>
          <w:b/>
          <w:sz w:val="24"/>
        </w:rPr>
        <w:t xml:space="preserve">               </w:t>
      </w:r>
      <w:r>
        <w:rPr>
          <w:rFonts w:ascii="仿宋" w:hAnsi="仿宋" w:eastAsia="仿宋" w:cs="楷体"/>
          <w:sz w:val="24"/>
        </w:rPr>
        <w:t xml:space="preserve"> </w:t>
      </w:r>
      <w:r>
        <w:rPr>
          <w:rFonts w:hint="eastAsia" w:ascii="仿宋" w:hAnsi="仿宋" w:eastAsia="仿宋" w:cs="楷体"/>
          <w:sz w:val="24"/>
        </w:rPr>
        <w:t>表</w:t>
      </w:r>
      <w:r>
        <w:rPr>
          <w:rFonts w:hint="eastAsia" w:ascii="仿宋" w:hAnsi="仿宋" w:eastAsia="仿宋" w:cs="楷体"/>
          <w:sz w:val="24"/>
          <w:lang w:val="en-US" w:eastAsia="zh-CN"/>
        </w:rPr>
        <w:t>2</w:t>
      </w:r>
    </w:p>
    <w:tbl>
      <w:tblPr>
        <w:tblStyle w:val="5"/>
        <w:tblpPr w:leftFromText="180" w:rightFromText="180" w:vertAnchor="text" w:horzAnchor="page" w:tblpX="2532" w:tblpY="161"/>
        <w:tblOverlap w:val="never"/>
        <w:tblW w:w="764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787"/>
        <w:gridCol w:w="1100"/>
        <w:gridCol w:w="1237"/>
        <w:gridCol w:w="251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787"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360" w:lineRule="auto"/>
              <w:jc w:val="center"/>
              <w:rPr>
                <w:rFonts w:ascii="仿宋" w:hAnsi="仿宋" w:eastAsia="仿宋" w:cs="楷体"/>
                <w:b/>
                <w:color w:val="FFFFFF"/>
                <w:szCs w:val="21"/>
              </w:rPr>
            </w:pPr>
            <w:r>
              <w:rPr>
                <w:rFonts w:hint="eastAsia" w:ascii="仿宋" w:hAnsi="仿宋" w:eastAsia="仿宋" w:cs="楷体"/>
                <w:b/>
                <w:color w:val="FFFFFF"/>
                <w:szCs w:val="21"/>
              </w:rPr>
              <w:t>人员组成</w:t>
            </w:r>
          </w:p>
        </w:tc>
        <w:tc>
          <w:tcPr>
            <w:tcW w:w="1100"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360" w:lineRule="auto"/>
              <w:jc w:val="center"/>
              <w:rPr>
                <w:rFonts w:ascii="仿宋" w:hAnsi="仿宋" w:eastAsia="仿宋" w:cs="楷体"/>
                <w:b/>
                <w:color w:val="FFFFFF"/>
                <w:szCs w:val="21"/>
              </w:rPr>
            </w:pPr>
            <w:r>
              <w:rPr>
                <w:rFonts w:hint="eastAsia" w:ascii="仿宋" w:hAnsi="仿宋" w:eastAsia="仿宋" w:cs="楷体"/>
                <w:b/>
                <w:color w:val="FFFFFF"/>
                <w:szCs w:val="21"/>
              </w:rPr>
              <w:t>工作日</w:t>
            </w:r>
          </w:p>
        </w:tc>
        <w:tc>
          <w:tcPr>
            <w:tcW w:w="1237"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360" w:lineRule="auto"/>
              <w:jc w:val="center"/>
              <w:rPr>
                <w:rFonts w:hint="eastAsia" w:ascii="仿宋" w:hAnsi="仿宋" w:eastAsia="仿宋" w:cs="楷体"/>
                <w:b/>
                <w:color w:val="FFFFFF"/>
                <w:szCs w:val="21"/>
              </w:rPr>
            </w:pPr>
            <w:r>
              <w:rPr>
                <w:rFonts w:hint="eastAsia" w:ascii="仿宋" w:hAnsi="仿宋" w:eastAsia="仿宋" w:cs="楷体"/>
                <w:b/>
                <w:color w:val="FFFFFF"/>
                <w:szCs w:val="21"/>
              </w:rPr>
              <w:t>年薪</w:t>
            </w:r>
          </w:p>
        </w:tc>
        <w:tc>
          <w:tcPr>
            <w:tcW w:w="2518"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360" w:lineRule="auto"/>
              <w:jc w:val="center"/>
              <w:rPr>
                <w:rFonts w:hint="eastAsia" w:ascii="仿宋" w:hAnsi="仿宋" w:eastAsia="仿宋" w:cs="楷体"/>
                <w:b/>
                <w:color w:val="FFFFFF"/>
                <w:szCs w:val="21"/>
              </w:rPr>
            </w:pPr>
            <w:r>
              <w:rPr>
                <w:rFonts w:hint="eastAsia" w:ascii="仿宋" w:hAnsi="仿宋" w:eastAsia="仿宋" w:cs="楷体"/>
                <w:b/>
                <w:color w:val="FFFFFF"/>
                <w:szCs w:val="21"/>
              </w:rPr>
              <w:t>成本估算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2787"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360" w:lineRule="auto"/>
              <w:jc w:val="center"/>
              <w:rPr>
                <w:rFonts w:hint="eastAsia" w:ascii="仿宋" w:hAnsi="仿宋" w:eastAsia="仿宋" w:cs="楷体"/>
                <w:bCs/>
                <w:color w:val="000000"/>
                <w:szCs w:val="21"/>
              </w:rPr>
            </w:pPr>
            <w:r>
              <w:rPr>
                <w:rFonts w:hint="eastAsia" w:ascii="仿宋" w:hAnsi="仿宋" w:eastAsia="仿宋" w:cs="楷体"/>
                <w:bCs/>
                <w:color w:val="000000"/>
                <w:szCs w:val="21"/>
              </w:rPr>
              <w:t>1名项目经理</w:t>
            </w:r>
          </w:p>
        </w:tc>
        <w:tc>
          <w:tcPr>
            <w:tcW w:w="1100"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360" w:lineRule="auto"/>
              <w:jc w:val="center"/>
              <w:rPr>
                <w:rFonts w:ascii="仿宋" w:hAnsi="仿宋" w:eastAsia="仿宋" w:cs="楷体"/>
                <w:bCs/>
                <w:color w:val="000000"/>
                <w:szCs w:val="21"/>
              </w:rPr>
            </w:pPr>
            <w:r>
              <w:rPr>
                <w:rFonts w:hint="eastAsia" w:ascii="仿宋" w:hAnsi="仿宋" w:eastAsia="仿宋" w:cs="楷体"/>
                <w:bCs/>
                <w:color w:val="000000"/>
                <w:szCs w:val="21"/>
              </w:rPr>
              <w:t>2</w:t>
            </w:r>
          </w:p>
        </w:tc>
        <w:tc>
          <w:tcPr>
            <w:tcW w:w="1237"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360" w:lineRule="auto"/>
              <w:jc w:val="center"/>
              <w:rPr>
                <w:rFonts w:ascii="仿宋" w:hAnsi="仿宋" w:eastAsia="仿宋" w:cs="楷体"/>
                <w:bCs/>
                <w:color w:val="000000"/>
                <w:szCs w:val="21"/>
              </w:rPr>
            </w:pPr>
            <w:r>
              <w:rPr>
                <w:rFonts w:hint="eastAsia" w:ascii="仿宋" w:hAnsi="仿宋" w:eastAsia="仿宋" w:cs="楷体"/>
                <w:bCs/>
                <w:color w:val="000000"/>
                <w:szCs w:val="21"/>
              </w:rPr>
              <w:t>15万元</w:t>
            </w:r>
          </w:p>
        </w:tc>
        <w:tc>
          <w:tcPr>
            <w:tcW w:w="2518"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360" w:lineRule="auto"/>
              <w:jc w:val="center"/>
              <w:rPr>
                <w:rFonts w:hint="eastAsia" w:ascii="仿宋" w:hAnsi="仿宋" w:eastAsia="仿宋" w:cs="楷体"/>
                <w:bCs/>
                <w:color w:val="000000"/>
                <w:szCs w:val="21"/>
              </w:rPr>
            </w:pPr>
            <w:r>
              <w:rPr>
                <w:rFonts w:hint="eastAsia" w:ascii="仿宋" w:hAnsi="仿宋" w:eastAsia="仿宋" w:cs="楷体"/>
                <w:bCs/>
                <w:color w:val="000000"/>
                <w:szCs w:val="21"/>
              </w:rPr>
              <w:t>1,200元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2787"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360" w:lineRule="auto"/>
              <w:jc w:val="center"/>
              <w:rPr>
                <w:rFonts w:ascii="仿宋" w:hAnsi="仿宋" w:eastAsia="仿宋" w:cs="楷体"/>
                <w:bCs/>
                <w:color w:val="000000"/>
                <w:szCs w:val="21"/>
              </w:rPr>
            </w:pPr>
            <w:r>
              <w:rPr>
                <w:rFonts w:hint="eastAsia" w:ascii="仿宋" w:hAnsi="仿宋" w:eastAsia="仿宋" w:cs="楷体"/>
                <w:bCs/>
                <w:color w:val="000000"/>
                <w:szCs w:val="21"/>
              </w:rPr>
              <w:t>1名土地估价师</w:t>
            </w:r>
          </w:p>
        </w:tc>
        <w:tc>
          <w:tcPr>
            <w:tcW w:w="1100"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360" w:lineRule="auto"/>
              <w:jc w:val="center"/>
              <w:rPr>
                <w:rFonts w:ascii="仿宋" w:hAnsi="仿宋" w:eastAsia="仿宋" w:cs="楷体"/>
                <w:bCs/>
                <w:color w:val="000000"/>
                <w:szCs w:val="21"/>
              </w:rPr>
            </w:pPr>
            <w:r>
              <w:rPr>
                <w:rFonts w:hint="eastAsia" w:ascii="仿宋" w:hAnsi="仿宋" w:eastAsia="仿宋" w:cs="楷体"/>
                <w:bCs/>
                <w:color w:val="000000"/>
                <w:szCs w:val="21"/>
              </w:rPr>
              <w:t>2</w:t>
            </w:r>
          </w:p>
        </w:tc>
        <w:tc>
          <w:tcPr>
            <w:tcW w:w="1237"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360" w:lineRule="auto"/>
              <w:jc w:val="center"/>
              <w:rPr>
                <w:rFonts w:hint="eastAsia" w:ascii="仿宋" w:hAnsi="仿宋" w:eastAsia="仿宋" w:cs="楷体"/>
                <w:bCs/>
                <w:color w:val="000000"/>
                <w:szCs w:val="21"/>
              </w:rPr>
            </w:pPr>
            <w:r>
              <w:rPr>
                <w:rFonts w:hint="eastAsia" w:ascii="仿宋" w:hAnsi="仿宋" w:eastAsia="仿宋" w:cs="楷体"/>
                <w:bCs/>
                <w:color w:val="000000"/>
                <w:szCs w:val="21"/>
              </w:rPr>
              <w:t>10万元</w:t>
            </w:r>
          </w:p>
        </w:tc>
        <w:tc>
          <w:tcPr>
            <w:tcW w:w="2518"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360" w:lineRule="auto"/>
              <w:jc w:val="center"/>
              <w:rPr>
                <w:rFonts w:ascii="仿宋" w:hAnsi="仿宋" w:eastAsia="仿宋" w:cs="楷体"/>
                <w:bCs/>
                <w:color w:val="000000"/>
                <w:szCs w:val="21"/>
              </w:rPr>
            </w:pPr>
            <w:r>
              <w:rPr>
                <w:rFonts w:hint="eastAsia" w:ascii="仿宋" w:hAnsi="仿宋" w:eastAsia="仿宋" w:cs="楷体"/>
                <w:bCs/>
                <w:color w:val="000000"/>
                <w:szCs w:val="21"/>
              </w:rPr>
              <w:t>800元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2787"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360" w:lineRule="auto"/>
              <w:jc w:val="center"/>
              <w:rPr>
                <w:rFonts w:ascii="仿宋" w:hAnsi="仿宋" w:eastAsia="仿宋" w:cs="楷体"/>
                <w:b/>
                <w:color w:val="000000"/>
                <w:szCs w:val="21"/>
              </w:rPr>
            </w:pPr>
            <w:r>
              <w:rPr>
                <w:rFonts w:hint="eastAsia" w:ascii="仿宋" w:hAnsi="仿宋" w:eastAsia="仿宋" w:cs="楷体"/>
                <w:b/>
                <w:color w:val="000000"/>
                <w:szCs w:val="21"/>
              </w:rPr>
              <w:t>合计</w:t>
            </w:r>
          </w:p>
        </w:tc>
        <w:tc>
          <w:tcPr>
            <w:tcW w:w="1100"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360" w:lineRule="auto"/>
              <w:jc w:val="center"/>
              <w:rPr>
                <w:rFonts w:hint="eastAsia" w:ascii="仿宋" w:hAnsi="仿宋" w:eastAsia="仿宋" w:cs="楷体"/>
                <w:b/>
                <w:color w:val="000000"/>
                <w:szCs w:val="21"/>
              </w:rPr>
            </w:pPr>
          </w:p>
        </w:tc>
        <w:tc>
          <w:tcPr>
            <w:tcW w:w="1237"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360" w:lineRule="auto"/>
              <w:jc w:val="center"/>
              <w:rPr>
                <w:rFonts w:hint="eastAsia" w:ascii="仿宋" w:hAnsi="仿宋" w:eastAsia="仿宋" w:cs="楷体"/>
                <w:b/>
                <w:color w:val="000000"/>
                <w:szCs w:val="21"/>
              </w:rPr>
            </w:pPr>
          </w:p>
        </w:tc>
        <w:tc>
          <w:tcPr>
            <w:tcW w:w="2518"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360" w:lineRule="auto"/>
              <w:jc w:val="center"/>
              <w:rPr>
                <w:rFonts w:ascii="仿宋" w:hAnsi="仿宋" w:eastAsia="仿宋" w:cs="楷体"/>
                <w:b/>
                <w:color w:val="000000"/>
                <w:szCs w:val="21"/>
              </w:rPr>
            </w:pPr>
            <w:r>
              <w:rPr>
                <w:rFonts w:hint="eastAsia" w:ascii="仿宋" w:hAnsi="仿宋" w:eastAsia="仿宋" w:cs="楷体"/>
                <w:b/>
                <w:color w:val="000000"/>
                <w:szCs w:val="21"/>
              </w:rPr>
              <w:t>2000元</w:t>
            </w:r>
          </w:p>
        </w:tc>
      </w:tr>
    </w:tbl>
    <w:p>
      <w:pPr>
        <w:spacing w:line="360" w:lineRule="auto"/>
        <w:ind w:firstLine="560" w:firstLineChars="200"/>
        <w:rPr>
          <w:rFonts w:hint="eastAsia" w:ascii="仿宋" w:hAnsi="仿宋" w:eastAsia="仿宋" w:cs="楷体"/>
          <w:bCs/>
          <w:sz w:val="28"/>
          <w:szCs w:val="28"/>
        </w:rPr>
      </w:pPr>
    </w:p>
    <w:p>
      <w:pPr>
        <w:spacing w:line="360" w:lineRule="auto"/>
        <w:ind w:firstLine="560" w:firstLineChars="200"/>
        <w:rPr>
          <w:rFonts w:hint="eastAsia" w:ascii="仿宋" w:hAnsi="仿宋" w:eastAsia="仿宋" w:cs="楷体"/>
          <w:bCs/>
          <w:sz w:val="28"/>
          <w:szCs w:val="28"/>
        </w:rPr>
      </w:pPr>
    </w:p>
    <w:p>
      <w:pPr>
        <w:spacing w:line="360" w:lineRule="auto"/>
        <w:ind w:firstLine="560" w:firstLineChars="200"/>
        <w:rPr>
          <w:rFonts w:hint="eastAsia" w:ascii="仿宋" w:hAnsi="仿宋" w:eastAsia="仿宋" w:cs="楷体"/>
          <w:bCs/>
          <w:sz w:val="28"/>
          <w:szCs w:val="28"/>
        </w:rPr>
      </w:pPr>
    </w:p>
    <w:p>
      <w:pPr>
        <w:spacing w:line="360" w:lineRule="auto"/>
        <w:ind w:firstLine="560" w:firstLineChars="200"/>
        <w:rPr>
          <w:rFonts w:hint="eastAsia" w:ascii="仿宋" w:hAnsi="仿宋" w:eastAsia="仿宋" w:cs="楷体"/>
          <w:bCs/>
          <w:sz w:val="28"/>
          <w:szCs w:val="28"/>
        </w:rPr>
      </w:pP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
          <w:sz w:val="24"/>
          <w:szCs w:val="24"/>
        </w:rPr>
      </w:pPr>
      <w:r>
        <w:rPr>
          <w:rFonts w:hint="eastAsia" w:ascii="仿宋" w:hAnsi="仿宋" w:eastAsia="仿宋" w:cs="楷体"/>
          <w:b/>
          <w:sz w:val="24"/>
          <w:szCs w:val="24"/>
        </w:rPr>
        <w:t>进行评估申报</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szCs w:val="24"/>
        </w:rPr>
      </w:pPr>
      <w:r>
        <w:rPr>
          <w:rFonts w:hint="eastAsia" w:ascii="仿宋" w:hAnsi="仿宋" w:eastAsia="仿宋" w:cs="楷体"/>
          <w:bCs/>
          <w:sz w:val="24"/>
          <w:szCs w:val="24"/>
        </w:rPr>
        <w:t>工作内容为：向政法委提交《江西省重大决策社会稳定风险评估申报表》，接受工作指导。</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楷体"/>
          <w:bCs/>
          <w:sz w:val="24"/>
          <w:szCs w:val="24"/>
        </w:rPr>
      </w:pPr>
      <w:r>
        <w:rPr>
          <w:rFonts w:hint="eastAsia" w:ascii="仿宋" w:hAnsi="仿宋" w:eastAsia="仿宋" w:cs="楷体"/>
          <w:bCs/>
          <w:sz w:val="24"/>
          <w:szCs w:val="24"/>
        </w:rPr>
        <w:t>此项工作需一名有项目经验的项目经理（土地估价师）完成，具体成本详见下表：</w:t>
      </w:r>
    </w:p>
    <w:p>
      <w:pPr>
        <w:keepNext w:val="0"/>
        <w:keepLines w:val="0"/>
        <w:pageBreakBefore w:val="0"/>
        <w:widowControl w:val="0"/>
        <w:kinsoku/>
        <w:wordWrap/>
        <w:overflowPunct/>
        <w:topLinePunct w:val="0"/>
        <w:autoSpaceDE/>
        <w:autoSpaceDN/>
        <w:bidi w:val="0"/>
        <w:adjustRightInd/>
        <w:snapToGrid/>
        <w:spacing w:line="560" w:lineRule="exact"/>
        <w:ind w:right="843" w:firstLine="641"/>
        <w:jc w:val="right"/>
        <w:textAlignment w:val="auto"/>
        <w:rPr>
          <w:rFonts w:hint="eastAsia" w:ascii="仿宋" w:hAnsi="仿宋" w:eastAsia="仿宋" w:cs="楷体"/>
          <w:b/>
          <w:sz w:val="24"/>
          <w:szCs w:val="24"/>
        </w:rPr>
      </w:pPr>
    </w:p>
    <w:p>
      <w:pPr>
        <w:keepNext w:val="0"/>
        <w:keepLines w:val="0"/>
        <w:pageBreakBefore w:val="0"/>
        <w:widowControl w:val="0"/>
        <w:kinsoku/>
        <w:wordWrap/>
        <w:overflowPunct/>
        <w:topLinePunct w:val="0"/>
        <w:autoSpaceDE/>
        <w:autoSpaceDN/>
        <w:bidi w:val="0"/>
        <w:adjustRightInd/>
        <w:snapToGrid/>
        <w:spacing w:line="560" w:lineRule="exact"/>
        <w:ind w:right="843" w:firstLine="641"/>
        <w:jc w:val="right"/>
        <w:textAlignment w:val="auto"/>
        <w:rPr>
          <w:rFonts w:hint="eastAsia" w:ascii="仿宋" w:hAnsi="仿宋" w:eastAsia="仿宋" w:cs="楷体"/>
          <w:b/>
          <w:sz w:val="24"/>
          <w:szCs w:val="24"/>
        </w:rPr>
      </w:pPr>
    </w:p>
    <w:p>
      <w:pPr>
        <w:keepNext w:val="0"/>
        <w:keepLines w:val="0"/>
        <w:pageBreakBefore w:val="0"/>
        <w:widowControl w:val="0"/>
        <w:kinsoku/>
        <w:wordWrap/>
        <w:overflowPunct/>
        <w:topLinePunct w:val="0"/>
        <w:autoSpaceDE/>
        <w:autoSpaceDN/>
        <w:bidi w:val="0"/>
        <w:adjustRightInd/>
        <w:snapToGrid/>
        <w:spacing w:line="560" w:lineRule="exact"/>
        <w:ind w:right="843" w:firstLine="641"/>
        <w:jc w:val="center"/>
        <w:textAlignment w:val="auto"/>
        <w:rPr>
          <w:rFonts w:hint="eastAsia" w:ascii="仿宋" w:hAnsi="仿宋" w:eastAsia="仿宋" w:cs="楷体"/>
          <w:b/>
          <w:sz w:val="24"/>
          <w:szCs w:val="24"/>
          <w:lang w:eastAsia="zh-CN"/>
        </w:rPr>
      </w:pPr>
      <w:r>
        <w:rPr>
          <w:rFonts w:hint="eastAsia" w:ascii="仿宋" w:hAnsi="仿宋" w:eastAsia="仿宋" w:cs="楷体"/>
          <w:b/>
          <w:sz w:val="24"/>
          <w:szCs w:val="24"/>
          <w:lang w:val="en-US" w:eastAsia="zh-CN"/>
        </w:rPr>
        <w:t xml:space="preserve">                        </w:t>
      </w:r>
      <w:r>
        <w:rPr>
          <w:rFonts w:hint="eastAsia" w:ascii="仿宋" w:hAnsi="仿宋" w:eastAsia="仿宋" w:cs="楷体"/>
          <w:b/>
          <w:sz w:val="24"/>
          <w:szCs w:val="24"/>
        </w:rPr>
        <w:t xml:space="preserve">进行评估申报成本 </w:t>
      </w:r>
      <w:r>
        <w:rPr>
          <w:rFonts w:ascii="仿宋" w:hAnsi="仿宋" w:eastAsia="仿宋" w:cs="楷体"/>
          <w:b/>
          <w:sz w:val="24"/>
          <w:szCs w:val="24"/>
        </w:rPr>
        <w:t xml:space="preserve">     </w:t>
      </w:r>
      <w:r>
        <w:rPr>
          <w:rFonts w:hint="eastAsia" w:ascii="仿宋" w:hAnsi="仿宋" w:eastAsia="仿宋" w:cs="楷体"/>
          <w:b/>
          <w:sz w:val="24"/>
          <w:szCs w:val="24"/>
          <w:lang w:val="en-US" w:eastAsia="zh-CN"/>
        </w:rPr>
        <w:t xml:space="preserve">     </w:t>
      </w:r>
      <w:r>
        <w:rPr>
          <w:rFonts w:ascii="仿宋" w:hAnsi="仿宋" w:eastAsia="仿宋" w:cs="楷体"/>
          <w:b/>
          <w:sz w:val="24"/>
          <w:szCs w:val="24"/>
        </w:rPr>
        <w:t xml:space="preserve">       </w:t>
      </w:r>
      <w:r>
        <w:rPr>
          <w:rFonts w:hint="eastAsia" w:ascii="仿宋" w:hAnsi="仿宋" w:eastAsia="仿宋" w:cs="楷体"/>
          <w:sz w:val="24"/>
          <w:szCs w:val="24"/>
        </w:rPr>
        <w:t>表</w:t>
      </w:r>
      <w:r>
        <w:rPr>
          <w:rFonts w:hint="eastAsia" w:ascii="仿宋" w:hAnsi="仿宋" w:eastAsia="仿宋" w:cs="楷体"/>
          <w:sz w:val="24"/>
          <w:szCs w:val="24"/>
          <w:lang w:val="en-US" w:eastAsia="zh-CN"/>
        </w:rPr>
        <w:t>3</w:t>
      </w:r>
    </w:p>
    <w:tbl>
      <w:tblPr>
        <w:tblStyle w:val="5"/>
        <w:tblpPr w:leftFromText="180" w:rightFromText="180" w:vertAnchor="text" w:horzAnchor="page" w:tblpX="2532" w:tblpY="161"/>
        <w:tblOverlap w:val="never"/>
        <w:tblW w:w="764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787"/>
        <w:gridCol w:w="1100"/>
        <w:gridCol w:w="1237"/>
        <w:gridCol w:w="251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2787"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360" w:lineRule="auto"/>
              <w:jc w:val="center"/>
              <w:rPr>
                <w:rFonts w:ascii="仿宋" w:hAnsi="仿宋" w:eastAsia="仿宋" w:cs="楷体"/>
                <w:b/>
                <w:color w:val="FFFFFF"/>
                <w:szCs w:val="21"/>
              </w:rPr>
            </w:pPr>
            <w:r>
              <w:rPr>
                <w:rFonts w:hint="eastAsia" w:ascii="仿宋" w:hAnsi="仿宋" w:eastAsia="仿宋" w:cs="楷体"/>
                <w:b/>
                <w:color w:val="FFFFFF"/>
                <w:szCs w:val="21"/>
              </w:rPr>
              <w:t>人员组成</w:t>
            </w:r>
          </w:p>
        </w:tc>
        <w:tc>
          <w:tcPr>
            <w:tcW w:w="1100"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360" w:lineRule="auto"/>
              <w:jc w:val="center"/>
              <w:rPr>
                <w:rFonts w:ascii="仿宋" w:hAnsi="仿宋" w:eastAsia="仿宋" w:cs="楷体"/>
                <w:b/>
                <w:color w:val="FFFFFF"/>
                <w:szCs w:val="21"/>
              </w:rPr>
            </w:pPr>
            <w:r>
              <w:rPr>
                <w:rFonts w:hint="eastAsia" w:ascii="仿宋" w:hAnsi="仿宋" w:eastAsia="仿宋" w:cs="楷体"/>
                <w:b/>
                <w:color w:val="FFFFFF"/>
                <w:szCs w:val="21"/>
              </w:rPr>
              <w:t>工作日</w:t>
            </w:r>
          </w:p>
        </w:tc>
        <w:tc>
          <w:tcPr>
            <w:tcW w:w="1237"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360" w:lineRule="auto"/>
              <w:jc w:val="center"/>
              <w:rPr>
                <w:rFonts w:hint="eastAsia" w:ascii="仿宋" w:hAnsi="仿宋" w:eastAsia="仿宋" w:cs="楷体"/>
                <w:b/>
                <w:color w:val="FFFFFF"/>
                <w:szCs w:val="21"/>
              </w:rPr>
            </w:pPr>
            <w:r>
              <w:rPr>
                <w:rFonts w:hint="eastAsia" w:ascii="仿宋" w:hAnsi="仿宋" w:eastAsia="仿宋" w:cs="楷体"/>
                <w:b/>
                <w:color w:val="FFFFFF"/>
                <w:szCs w:val="21"/>
              </w:rPr>
              <w:t>年薪</w:t>
            </w:r>
          </w:p>
        </w:tc>
        <w:tc>
          <w:tcPr>
            <w:tcW w:w="2518"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360" w:lineRule="auto"/>
              <w:jc w:val="center"/>
              <w:rPr>
                <w:rFonts w:hint="eastAsia" w:ascii="仿宋" w:hAnsi="仿宋" w:eastAsia="仿宋" w:cs="楷体"/>
                <w:b/>
                <w:color w:val="FFFFFF"/>
                <w:szCs w:val="21"/>
              </w:rPr>
            </w:pPr>
            <w:r>
              <w:rPr>
                <w:rFonts w:hint="eastAsia" w:ascii="仿宋" w:hAnsi="仿宋" w:eastAsia="仿宋" w:cs="楷体"/>
                <w:b/>
                <w:color w:val="FFFFFF"/>
                <w:szCs w:val="21"/>
              </w:rPr>
              <w:t>成本估算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2787"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360" w:lineRule="auto"/>
              <w:jc w:val="center"/>
              <w:rPr>
                <w:rFonts w:hint="eastAsia" w:ascii="仿宋" w:hAnsi="仿宋" w:eastAsia="仿宋" w:cs="楷体"/>
                <w:bCs/>
                <w:color w:val="000000"/>
                <w:szCs w:val="21"/>
              </w:rPr>
            </w:pPr>
            <w:r>
              <w:rPr>
                <w:rFonts w:hint="eastAsia" w:ascii="仿宋" w:hAnsi="仿宋" w:eastAsia="仿宋" w:cs="楷体"/>
                <w:bCs/>
                <w:color w:val="000000"/>
                <w:szCs w:val="21"/>
              </w:rPr>
              <w:t>1名项目经理</w:t>
            </w:r>
          </w:p>
        </w:tc>
        <w:tc>
          <w:tcPr>
            <w:tcW w:w="1100"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360" w:lineRule="auto"/>
              <w:jc w:val="center"/>
              <w:rPr>
                <w:rFonts w:ascii="仿宋" w:hAnsi="仿宋" w:eastAsia="仿宋" w:cs="楷体"/>
                <w:bCs/>
                <w:color w:val="000000"/>
                <w:szCs w:val="21"/>
              </w:rPr>
            </w:pPr>
            <w:r>
              <w:rPr>
                <w:rFonts w:hint="eastAsia" w:ascii="仿宋" w:hAnsi="仿宋" w:eastAsia="仿宋" w:cs="楷体"/>
                <w:bCs/>
                <w:color w:val="000000"/>
                <w:szCs w:val="21"/>
              </w:rPr>
              <w:t>1</w:t>
            </w:r>
          </w:p>
        </w:tc>
        <w:tc>
          <w:tcPr>
            <w:tcW w:w="1237"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360" w:lineRule="auto"/>
              <w:jc w:val="center"/>
              <w:rPr>
                <w:rFonts w:ascii="仿宋" w:hAnsi="仿宋" w:eastAsia="仿宋" w:cs="楷体"/>
                <w:bCs/>
                <w:color w:val="000000"/>
                <w:szCs w:val="21"/>
              </w:rPr>
            </w:pPr>
            <w:r>
              <w:rPr>
                <w:rFonts w:hint="eastAsia" w:ascii="仿宋" w:hAnsi="仿宋" w:eastAsia="仿宋" w:cs="楷体"/>
                <w:bCs/>
                <w:color w:val="000000"/>
                <w:szCs w:val="21"/>
              </w:rPr>
              <w:t>15万元</w:t>
            </w:r>
          </w:p>
        </w:tc>
        <w:tc>
          <w:tcPr>
            <w:tcW w:w="2518"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360" w:lineRule="auto"/>
              <w:jc w:val="center"/>
              <w:rPr>
                <w:rFonts w:hint="eastAsia" w:ascii="仿宋" w:hAnsi="仿宋" w:eastAsia="仿宋" w:cs="楷体"/>
                <w:bCs/>
                <w:color w:val="000000"/>
                <w:szCs w:val="21"/>
              </w:rPr>
            </w:pPr>
            <w:r>
              <w:rPr>
                <w:rFonts w:hint="eastAsia" w:ascii="仿宋" w:hAnsi="仿宋" w:eastAsia="仿宋" w:cs="楷体"/>
                <w:bCs/>
                <w:color w:val="000000"/>
                <w:szCs w:val="21"/>
              </w:rPr>
              <w:t>600元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2787"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360" w:lineRule="auto"/>
              <w:jc w:val="center"/>
              <w:rPr>
                <w:rFonts w:ascii="仿宋" w:hAnsi="仿宋" w:eastAsia="仿宋" w:cs="楷体"/>
                <w:b/>
                <w:color w:val="000000"/>
                <w:szCs w:val="21"/>
              </w:rPr>
            </w:pPr>
            <w:r>
              <w:rPr>
                <w:rFonts w:hint="eastAsia" w:ascii="仿宋" w:hAnsi="仿宋" w:eastAsia="仿宋" w:cs="楷体"/>
                <w:b/>
                <w:color w:val="000000"/>
                <w:szCs w:val="21"/>
              </w:rPr>
              <w:t>合计</w:t>
            </w:r>
          </w:p>
        </w:tc>
        <w:tc>
          <w:tcPr>
            <w:tcW w:w="1100"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360" w:lineRule="auto"/>
              <w:jc w:val="center"/>
              <w:rPr>
                <w:rFonts w:hint="eastAsia" w:ascii="仿宋" w:hAnsi="仿宋" w:eastAsia="仿宋" w:cs="楷体"/>
                <w:b/>
                <w:color w:val="000000"/>
                <w:szCs w:val="21"/>
              </w:rPr>
            </w:pPr>
          </w:p>
        </w:tc>
        <w:tc>
          <w:tcPr>
            <w:tcW w:w="1237"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360" w:lineRule="auto"/>
              <w:jc w:val="center"/>
              <w:rPr>
                <w:rFonts w:hint="eastAsia" w:ascii="仿宋" w:hAnsi="仿宋" w:eastAsia="仿宋" w:cs="楷体"/>
                <w:b/>
                <w:color w:val="000000"/>
                <w:szCs w:val="21"/>
              </w:rPr>
            </w:pPr>
          </w:p>
        </w:tc>
        <w:tc>
          <w:tcPr>
            <w:tcW w:w="2518"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360" w:lineRule="auto"/>
              <w:jc w:val="center"/>
              <w:rPr>
                <w:rFonts w:ascii="仿宋" w:hAnsi="仿宋" w:eastAsia="仿宋" w:cs="楷体"/>
                <w:b/>
                <w:color w:val="000000"/>
                <w:szCs w:val="21"/>
              </w:rPr>
            </w:pPr>
            <w:r>
              <w:rPr>
                <w:rFonts w:hint="eastAsia" w:ascii="仿宋" w:hAnsi="仿宋" w:eastAsia="仿宋" w:cs="楷体"/>
                <w:b/>
                <w:color w:val="000000"/>
                <w:szCs w:val="21"/>
              </w:rPr>
              <w:t>600元</w:t>
            </w:r>
          </w:p>
        </w:tc>
      </w:tr>
    </w:tbl>
    <w:p>
      <w:pPr>
        <w:spacing w:line="360" w:lineRule="auto"/>
        <w:ind w:firstLine="560" w:firstLineChars="200"/>
        <w:rPr>
          <w:rFonts w:hint="eastAsia" w:ascii="仿宋" w:hAnsi="仿宋" w:eastAsia="仿宋" w:cs="楷体"/>
          <w:bCs/>
          <w:sz w:val="28"/>
          <w:szCs w:val="28"/>
        </w:rPr>
      </w:pPr>
    </w:p>
    <w:p>
      <w:pPr>
        <w:spacing w:line="360" w:lineRule="auto"/>
        <w:ind w:firstLine="560" w:firstLineChars="200"/>
        <w:rPr>
          <w:rFonts w:hint="eastAsia" w:ascii="仿宋" w:hAnsi="仿宋" w:eastAsia="仿宋" w:cs="楷体"/>
          <w:bCs/>
          <w:sz w:val="28"/>
          <w:szCs w:val="28"/>
        </w:rPr>
      </w:pPr>
    </w:p>
    <w:p>
      <w:pPr>
        <w:spacing w:line="360" w:lineRule="auto"/>
        <w:ind w:firstLine="560" w:firstLineChars="200"/>
        <w:rPr>
          <w:rFonts w:hint="eastAsia" w:ascii="仿宋" w:hAnsi="仿宋" w:eastAsia="仿宋" w:cs="楷体"/>
          <w:bCs/>
          <w:sz w:val="28"/>
          <w:szCs w:val="28"/>
        </w:rPr>
      </w:pP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
          <w:sz w:val="24"/>
        </w:rPr>
      </w:pPr>
      <w:r>
        <w:rPr>
          <w:rFonts w:hint="eastAsia" w:ascii="仿宋" w:hAnsi="仿宋" w:eastAsia="仿宋" w:cs="楷体"/>
          <w:b/>
          <w:sz w:val="24"/>
        </w:rPr>
        <w:t>开展民意调查</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t>工作内容为：根据拟定的评估方案，采取现场和网上公示、舆情调查、问卷调查、走访和召开座谈会等方式，听取利益相关方和社会公众的意见和建议。</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仿宋" w:hAnsi="仿宋" w:eastAsia="仿宋" w:cs="楷体"/>
          <w:bCs/>
          <w:sz w:val="24"/>
        </w:rPr>
      </w:pPr>
      <w:r>
        <w:rPr>
          <w:rFonts w:hint="eastAsia" w:ascii="仿宋" w:hAnsi="仿宋" w:eastAsia="仿宋" w:cs="楷体"/>
          <w:bCs/>
          <w:sz w:val="24"/>
        </w:rPr>
        <w:t>民意调查以一个500亩项目为例、需开展100份问卷调查进行测算。开展民意调查主要以现场为主，考虑到问卷发放、问卷收回、走访、座谈会及居民外出务工难以调查等因素，此项工作需一名有项目经验的项目经理（土地估价师）、3名土地估价师及6名估价师助理完成；工作时间为10个工作日；交通费、住宿费、餐费每人每天350元计算；为让问卷调查更为有效的开展，每份问卷调查准备10元/份礼品，具体成本如下：</w:t>
      </w:r>
    </w:p>
    <w:p>
      <w:pPr>
        <w:keepNext w:val="0"/>
        <w:keepLines w:val="0"/>
        <w:pageBreakBefore w:val="0"/>
        <w:widowControl w:val="0"/>
        <w:kinsoku/>
        <w:wordWrap/>
        <w:overflowPunct/>
        <w:topLinePunct w:val="0"/>
        <w:autoSpaceDE/>
        <w:autoSpaceDN/>
        <w:bidi w:val="0"/>
        <w:adjustRightInd/>
        <w:snapToGrid/>
        <w:spacing w:line="560" w:lineRule="exact"/>
        <w:ind w:left="420" w:leftChars="200" w:right="723" w:firstLine="723" w:firstLineChars="300"/>
        <w:jc w:val="center"/>
        <w:textAlignment w:val="auto"/>
        <w:rPr>
          <w:rFonts w:hint="eastAsia" w:ascii="仿宋" w:hAnsi="仿宋" w:eastAsia="仿宋" w:cs="楷体"/>
          <w:b/>
          <w:sz w:val="24"/>
          <w:lang w:eastAsia="zh-CN"/>
        </w:rPr>
      </w:pPr>
      <w:r>
        <w:rPr>
          <w:rFonts w:hint="eastAsia" w:ascii="仿宋" w:hAnsi="仿宋" w:eastAsia="仿宋" w:cs="楷体"/>
          <w:b/>
          <w:sz w:val="24"/>
          <w:lang w:val="en-US" w:eastAsia="zh-CN"/>
        </w:rPr>
        <w:t xml:space="preserve">                   </w:t>
      </w:r>
      <w:r>
        <w:rPr>
          <w:rFonts w:hint="eastAsia" w:ascii="仿宋" w:hAnsi="仿宋" w:eastAsia="仿宋" w:cs="楷体"/>
          <w:b/>
          <w:sz w:val="24"/>
        </w:rPr>
        <w:t xml:space="preserve">开展民意调查成本 </w:t>
      </w:r>
      <w:r>
        <w:rPr>
          <w:rFonts w:ascii="仿宋" w:hAnsi="仿宋" w:eastAsia="仿宋" w:cs="楷体"/>
          <w:b/>
          <w:sz w:val="24"/>
        </w:rPr>
        <w:t xml:space="preserve">     </w:t>
      </w:r>
      <w:r>
        <w:rPr>
          <w:rFonts w:hint="eastAsia" w:ascii="仿宋" w:hAnsi="仿宋" w:eastAsia="仿宋" w:cs="楷体"/>
          <w:b/>
          <w:sz w:val="24"/>
          <w:lang w:val="en-US" w:eastAsia="zh-CN"/>
        </w:rPr>
        <w:t xml:space="preserve">     </w:t>
      </w:r>
      <w:r>
        <w:rPr>
          <w:rFonts w:ascii="仿宋" w:hAnsi="仿宋" w:eastAsia="仿宋" w:cs="楷体"/>
          <w:b/>
          <w:sz w:val="24"/>
        </w:rPr>
        <w:t xml:space="preserve">          </w:t>
      </w:r>
      <w:r>
        <w:rPr>
          <w:rFonts w:hint="eastAsia" w:ascii="仿宋" w:hAnsi="仿宋" w:eastAsia="仿宋" w:cs="楷体"/>
          <w:sz w:val="24"/>
        </w:rPr>
        <w:t>表</w:t>
      </w:r>
      <w:r>
        <w:rPr>
          <w:rFonts w:hint="eastAsia" w:ascii="仿宋" w:hAnsi="仿宋" w:eastAsia="仿宋" w:cs="楷体"/>
          <w:sz w:val="24"/>
          <w:lang w:val="en-US" w:eastAsia="zh-CN"/>
        </w:rPr>
        <w:t>4</w:t>
      </w:r>
    </w:p>
    <w:tbl>
      <w:tblPr>
        <w:tblStyle w:val="5"/>
        <w:tblpPr w:leftFromText="180" w:rightFromText="180" w:vertAnchor="text" w:horzAnchor="page" w:tblpX="2532" w:tblpY="161"/>
        <w:tblOverlap w:val="never"/>
        <w:tblW w:w="764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787"/>
        <w:gridCol w:w="1387"/>
        <w:gridCol w:w="1683"/>
        <w:gridCol w:w="178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2787"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楷体"/>
                <w:b/>
                <w:color w:val="FFFFFF"/>
                <w:szCs w:val="21"/>
              </w:rPr>
            </w:pPr>
            <w:r>
              <w:rPr>
                <w:rFonts w:hint="eastAsia" w:ascii="仿宋" w:hAnsi="仿宋" w:eastAsia="仿宋" w:cs="楷体"/>
                <w:b/>
                <w:color w:val="FFFFFF"/>
                <w:szCs w:val="21"/>
              </w:rPr>
              <w:t>人员组成</w:t>
            </w:r>
          </w:p>
        </w:tc>
        <w:tc>
          <w:tcPr>
            <w:tcW w:w="1387"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楷体"/>
                <w:b/>
                <w:color w:val="FFFFFF"/>
                <w:szCs w:val="21"/>
              </w:rPr>
            </w:pPr>
            <w:r>
              <w:rPr>
                <w:rFonts w:hint="eastAsia" w:ascii="仿宋" w:hAnsi="仿宋" w:eastAsia="仿宋" w:cs="楷体"/>
                <w:b/>
                <w:color w:val="FFFFFF"/>
                <w:szCs w:val="21"/>
              </w:rPr>
              <w:t>工作日/数量</w:t>
            </w:r>
          </w:p>
        </w:tc>
        <w:tc>
          <w:tcPr>
            <w:tcW w:w="1683"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楷体"/>
                <w:b/>
                <w:color w:val="FFFFFF"/>
                <w:szCs w:val="21"/>
              </w:rPr>
            </w:pPr>
            <w:r>
              <w:rPr>
                <w:rFonts w:hint="eastAsia" w:ascii="仿宋" w:hAnsi="仿宋" w:eastAsia="仿宋" w:cs="楷体"/>
                <w:b/>
                <w:color w:val="FFFFFF"/>
                <w:szCs w:val="21"/>
              </w:rPr>
              <w:t>年薪/成本</w:t>
            </w:r>
          </w:p>
        </w:tc>
        <w:tc>
          <w:tcPr>
            <w:tcW w:w="1785"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hint="eastAsia" w:ascii="仿宋" w:hAnsi="仿宋" w:eastAsia="仿宋" w:cs="楷体"/>
                <w:b/>
                <w:color w:val="FFFFFF"/>
                <w:szCs w:val="21"/>
              </w:rPr>
            </w:pPr>
            <w:r>
              <w:rPr>
                <w:rFonts w:hint="eastAsia" w:ascii="仿宋" w:hAnsi="仿宋" w:eastAsia="仿宋" w:cs="楷体"/>
                <w:b/>
                <w:color w:val="FFFFFF"/>
                <w:szCs w:val="21"/>
              </w:rPr>
              <w:t>成本估算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2787"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1名项目经理人工成本</w:t>
            </w:r>
          </w:p>
        </w:tc>
        <w:tc>
          <w:tcPr>
            <w:tcW w:w="1387"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10</w:t>
            </w:r>
          </w:p>
        </w:tc>
        <w:tc>
          <w:tcPr>
            <w:tcW w:w="1683"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15万元</w:t>
            </w:r>
          </w:p>
        </w:tc>
        <w:tc>
          <w:tcPr>
            <w:tcW w:w="1785"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hint="eastAsia" w:ascii="仿宋" w:hAnsi="仿宋" w:eastAsia="仿宋" w:cs="楷体"/>
                <w:bCs/>
                <w:color w:val="000000"/>
                <w:szCs w:val="21"/>
              </w:rPr>
            </w:pPr>
            <w:r>
              <w:rPr>
                <w:rFonts w:hint="eastAsia" w:ascii="仿宋" w:hAnsi="仿宋" w:eastAsia="仿宋" w:cs="楷体"/>
                <w:bCs/>
                <w:color w:val="000000"/>
                <w:szCs w:val="21"/>
              </w:rPr>
              <w:t>6,000元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2787"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3名土地估价师人工成本</w:t>
            </w:r>
          </w:p>
        </w:tc>
        <w:tc>
          <w:tcPr>
            <w:tcW w:w="1387"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10</w:t>
            </w:r>
          </w:p>
        </w:tc>
        <w:tc>
          <w:tcPr>
            <w:tcW w:w="1683"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eastAsia" w:ascii="仿宋" w:hAnsi="仿宋" w:eastAsia="仿宋" w:cs="楷体"/>
                <w:bCs/>
                <w:color w:val="000000"/>
                <w:szCs w:val="21"/>
              </w:rPr>
            </w:pPr>
            <w:r>
              <w:rPr>
                <w:rFonts w:hint="eastAsia" w:ascii="仿宋" w:hAnsi="仿宋" w:eastAsia="仿宋" w:cs="楷体"/>
                <w:bCs/>
                <w:color w:val="000000"/>
                <w:szCs w:val="21"/>
              </w:rPr>
              <w:t>10万元</w:t>
            </w:r>
          </w:p>
        </w:tc>
        <w:tc>
          <w:tcPr>
            <w:tcW w:w="1785"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12,000元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2787"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6名估价师助理人工成本</w:t>
            </w:r>
          </w:p>
        </w:tc>
        <w:tc>
          <w:tcPr>
            <w:tcW w:w="1387"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10</w:t>
            </w:r>
          </w:p>
        </w:tc>
        <w:tc>
          <w:tcPr>
            <w:tcW w:w="1683"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6万元</w:t>
            </w:r>
          </w:p>
        </w:tc>
        <w:tc>
          <w:tcPr>
            <w:tcW w:w="1785"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14,400元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2787"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eastAsia" w:ascii="仿宋" w:hAnsi="仿宋" w:eastAsia="仿宋" w:cs="楷体"/>
                <w:bCs/>
                <w:color w:val="000000"/>
                <w:szCs w:val="21"/>
              </w:rPr>
            </w:pPr>
            <w:r>
              <w:rPr>
                <w:rFonts w:hint="eastAsia" w:ascii="仿宋" w:hAnsi="仿宋" w:eastAsia="仿宋" w:cs="楷体"/>
                <w:bCs/>
                <w:color w:val="000000"/>
                <w:szCs w:val="21"/>
              </w:rPr>
              <w:t>交通费、住宿费、餐费</w:t>
            </w:r>
          </w:p>
        </w:tc>
        <w:tc>
          <w:tcPr>
            <w:tcW w:w="1387"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10</w:t>
            </w:r>
          </w:p>
        </w:tc>
        <w:tc>
          <w:tcPr>
            <w:tcW w:w="1683"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350元每人/天</w:t>
            </w:r>
          </w:p>
        </w:tc>
        <w:tc>
          <w:tcPr>
            <w:tcW w:w="1785"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35,000元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2787"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hint="eastAsia" w:ascii="仿宋" w:hAnsi="仿宋" w:eastAsia="仿宋" w:cs="楷体"/>
                <w:bCs/>
                <w:color w:val="000000"/>
                <w:szCs w:val="21"/>
              </w:rPr>
            </w:pPr>
            <w:r>
              <w:rPr>
                <w:rFonts w:hint="eastAsia" w:ascii="仿宋" w:hAnsi="仿宋" w:eastAsia="仿宋" w:cs="楷体"/>
                <w:bCs/>
                <w:color w:val="000000"/>
                <w:szCs w:val="21"/>
              </w:rPr>
              <w:t>问卷调查费用</w:t>
            </w:r>
          </w:p>
        </w:tc>
        <w:tc>
          <w:tcPr>
            <w:tcW w:w="1387"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100</w:t>
            </w:r>
          </w:p>
        </w:tc>
        <w:tc>
          <w:tcPr>
            <w:tcW w:w="1683"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调查问卷礼品费10元/份</w:t>
            </w:r>
          </w:p>
        </w:tc>
        <w:tc>
          <w:tcPr>
            <w:tcW w:w="1785"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2787"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
                <w:color w:val="000000"/>
                <w:szCs w:val="21"/>
              </w:rPr>
            </w:pPr>
            <w:r>
              <w:rPr>
                <w:rFonts w:hint="eastAsia" w:ascii="仿宋" w:hAnsi="仿宋" w:eastAsia="仿宋" w:cs="楷体"/>
                <w:b/>
                <w:color w:val="000000"/>
                <w:szCs w:val="21"/>
              </w:rPr>
              <w:t>合计</w:t>
            </w:r>
          </w:p>
        </w:tc>
        <w:tc>
          <w:tcPr>
            <w:tcW w:w="1387"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eastAsia" w:ascii="仿宋" w:hAnsi="仿宋" w:eastAsia="仿宋" w:cs="楷体"/>
                <w:b/>
                <w:color w:val="000000"/>
                <w:szCs w:val="21"/>
              </w:rPr>
            </w:pPr>
          </w:p>
        </w:tc>
        <w:tc>
          <w:tcPr>
            <w:tcW w:w="1683"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eastAsia" w:ascii="仿宋" w:hAnsi="仿宋" w:eastAsia="仿宋" w:cs="楷体"/>
                <w:b/>
                <w:color w:val="000000"/>
                <w:szCs w:val="21"/>
              </w:rPr>
            </w:pPr>
          </w:p>
        </w:tc>
        <w:tc>
          <w:tcPr>
            <w:tcW w:w="1785"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
                <w:color w:val="000000"/>
                <w:szCs w:val="21"/>
              </w:rPr>
            </w:pPr>
            <w:r>
              <w:rPr>
                <w:rFonts w:hint="eastAsia" w:ascii="仿宋" w:hAnsi="仿宋" w:eastAsia="仿宋" w:cs="楷体"/>
                <w:b/>
                <w:color w:val="000000"/>
                <w:szCs w:val="21"/>
              </w:rPr>
              <w:t>68,400元</w:t>
            </w:r>
          </w:p>
        </w:tc>
      </w:tr>
    </w:tbl>
    <w:p>
      <w:pPr>
        <w:spacing w:line="360" w:lineRule="auto"/>
        <w:ind w:left="420" w:leftChars="200" w:firstLine="843" w:firstLineChars="300"/>
        <w:jc w:val="center"/>
        <w:rPr>
          <w:rFonts w:hint="eastAsia" w:ascii="仿宋" w:hAnsi="仿宋" w:eastAsia="仿宋" w:cs="楷体"/>
          <w:b/>
          <w:sz w:val="28"/>
          <w:szCs w:val="28"/>
        </w:rPr>
      </w:pPr>
    </w:p>
    <w:p>
      <w:pPr>
        <w:spacing w:line="360" w:lineRule="auto"/>
        <w:ind w:left="420" w:leftChars="200" w:firstLine="843" w:firstLineChars="300"/>
        <w:jc w:val="center"/>
        <w:rPr>
          <w:rFonts w:ascii="仿宋" w:hAnsi="仿宋" w:eastAsia="仿宋" w:cs="楷体"/>
          <w:b/>
          <w:sz w:val="28"/>
          <w:szCs w:val="28"/>
        </w:rPr>
      </w:pPr>
    </w:p>
    <w:p>
      <w:pPr>
        <w:spacing w:line="360" w:lineRule="auto"/>
        <w:ind w:firstLine="560" w:firstLineChars="200"/>
        <w:rPr>
          <w:rFonts w:hint="eastAsia" w:ascii="仿宋" w:hAnsi="仿宋" w:eastAsia="仿宋" w:cs="楷体"/>
          <w:bCs/>
          <w:sz w:val="28"/>
          <w:szCs w:val="28"/>
        </w:rPr>
      </w:pPr>
    </w:p>
    <w:p>
      <w:pPr>
        <w:spacing w:line="360" w:lineRule="auto"/>
        <w:ind w:firstLine="560" w:firstLineChars="200"/>
        <w:rPr>
          <w:rFonts w:ascii="仿宋" w:hAnsi="仿宋" w:eastAsia="仿宋" w:cs="楷体"/>
          <w:bCs/>
          <w:sz w:val="28"/>
          <w:szCs w:val="28"/>
        </w:rPr>
      </w:pPr>
    </w:p>
    <w:p>
      <w:pPr>
        <w:spacing w:line="360" w:lineRule="auto"/>
        <w:ind w:firstLine="560" w:firstLineChars="200"/>
        <w:jc w:val="left"/>
        <w:rPr>
          <w:rFonts w:hint="eastAsia" w:ascii="仿宋" w:hAnsi="仿宋" w:eastAsia="仿宋" w:cs="楷体"/>
          <w:bCs/>
          <w:sz w:val="28"/>
          <w:szCs w:val="28"/>
        </w:rPr>
      </w:pPr>
    </w:p>
    <w:p>
      <w:pPr>
        <w:spacing w:line="360" w:lineRule="auto"/>
        <w:ind w:firstLine="560" w:firstLineChars="200"/>
        <w:jc w:val="left"/>
        <w:rPr>
          <w:rFonts w:hint="eastAsia" w:ascii="仿宋" w:hAnsi="仿宋" w:eastAsia="仿宋" w:cs="楷体"/>
          <w:bCs/>
          <w:sz w:val="28"/>
          <w:szCs w:val="28"/>
        </w:rPr>
      </w:pP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
          <w:sz w:val="24"/>
        </w:rPr>
      </w:pPr>
      <w:r>
        <w:rPr>
          <w:rFonts w:hint="eastAsia" w:ascii="仿宋" w:hAnsi="仿宋" w:eastAsia="仿宋" w:cs="楷体"/>
          <w:b/>
          <w:sz w:val="24"/>
        </w:rPr>
        <w:t>组织开展论证</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t>工作内容为：全面梳理民意，理清群众的主流意见及核心诉求；针对群众的意见和诉求，对可能存在的社会稳定风险进行预测评估，并研究提出化解的措施和办法；组织专家论证，专家论证主要由专家、当地熟悉情况乡村干部、群众代表组成，对开展稳评工作的方式方法、所作的风险分析预测以及提出的应对措施、评估初步结论进行综合评价，并进行研究完善，论证结束后出具论证意见。</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t>此项工作需一名有项目经验的项目经理（土地估价师）、3名土地估价师及6名估价师助理全程参与对问卷调查民意的梳理、理清群众的主流意见及核心诉求，约需6个工作日；并需组织5名专家代表及10名村干部对风险分析预测以及提出的应对措施，专家按1000元/人计算费用，村干部按200元/人计算费用，具体成本如下：</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center"/>
        <w:textAlignment w:val="auto"/>
        <w:rPr>
          <w:rFonts w:hint="eastAsia" w:ascii="仿宋" w:hAnsi="仿宋" w:eastAsia="仿宋" w:cs="楷体"/>
          <w:bCs/>
          <w:sz w:val="28"/>
          <w:szCs w:val="28"/>
          <w:lang w:eastAsia="zh-CN"/>
        </w:rPr>
      </w:pPr>
      <w:r>
        <w:rPr>
          <w:rFonts w:hint="eastAsia" w:ascii="仿宋" w:hAnsi="仿宋" w:eastAsia="仿宋" w:cs="楷体"/>
          <w:b/>
          <w:sz w:val="24"/>
        </w:rPr>
        <w:t xml:space="preserve"> </w:t>
      </w:r>
      <w:r>
        <w:rPr>
          <w:rFonts w:ascii="仿宋" w:hAnsi="仿宋" w:eastAsia="仿宋" w:cs="楷体"/>
          <w:b/>
          <w:sz w:val="24"/>
        </w:rPr>
        <w:t xml:space="preserve">                    </w:t>
      </w:r>
      <w:r>
        <w:rPr>
          <w:rFonts w:hint="eastAsia" w:ascii="仿宋" w:hAnsi="仿宋" w:eastAsia="仿宋" w:cs="楷体"/>
          <w:b/>
          <w:sz w:val="24"/>
        </w:rPr>
        <w:t xml:space="preserve">组织开展论证成本 </w:t>
      </w:r>
      <w:r>
        <w:rPr>
          <w:rFonts w:ascii="仿宋" w:hAnsi="仿宋" w:eastAsia="仿宋" w:cs="楷体"/>
          <w:b/>
          <w:sz w:val="24"/>
        </w:rPr>
        <w:t xml:space="preserve">                 </w:t>
      </w:r>
      <w:r>
        <w:rPr>
          <w:rFonts w:hint="eastAsia" w:ascii="仿宋" w:hAnsi="仿宋" w:eastAsia="仿宋" w:cs="楷体"/>
          <w:sz w:val="24"/>
        </w:rPr>
        <w:t>表</w:t>
      </w:r>
      <w:r>
        <w:rPr>
          <w:rFonts w:hint="eastAsia" w:ascii="仿宋" w:hAnsi="仿宋" w:eastAsia="仿宋" w:cs="楷体"/>
          <w:sz w:val="24"/>
          <w:lang w:val="en-US" w:eastAsia="zh-CN"/>
        </w:rPr>
        <w:t>5</w:t>
      </w:r>
    </w:p>
    <w:tbl>
      <w:tblPr>
        <w:tblStyle w:val="5"/>
        <w:tblpPr w:leftFromText="180" w:rightFromText="180" w:vertAnchor="text" w:horzAnchor="page" w:tblpX="2532" w:tblpY="161"/>
        <w:tblOverlap w:val="never"/>
        <w:tblW w:w="764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787"/>
        <w:gridCol w:w="1243"/>
        <w:gridCol w:w="1336"/>
        <w:gridCol w:w="22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2787"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楷体"/>
                <w:b/>
                <w:color w:val="FFFFFF"/>
                <w:szCs w:val="21"/>
              </w:rPr>
            </w:pPr>
            <w:r>
              <w:rPr>
                <w:rFonts w:hint="eastAsia" w:ascii="仿宋" w:hAnsi="仿宋" w:eastAsia="仿宋" w:cs="楷体"/>
                <w:b/>
                <w:color w:val="FFFFFF"/>
                <w:szCs w:val="21"/>
              </w:rPr>
              <w:t>人员组成</w:t>
            </w:r>
          </w:p>
        </w:tc>
        <w:tc>
          <w:tcPr>
            <w:tcW w:w="1243"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楷体"/>
                <w:b/>
                <w:color w:val="FFFFFF"/>
                <w:szCs w:val="21"/>
              </w:rPr>
            </w:pPr>
            <w:r>
              <w:rPr>
                <w:rFonts w:hint="eastAsia" w:ascii="仿宋" w:hAnsi="仿宋" w:eastAsia="仿宋" w:cs="楷体"/>
                <w:b/>
                <w:color w:val="FFFFFF"/>
                <w:szCs w:val="21"/>
              </w:rPr>
              <w:t>工作日</w:t>
            </w:r>
          </w:p>
        </w:tc>
        <w:tc>
          <w:tcPr>
            <w:tcW w:w="1336"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楷体"/>
                <w:b/>
                <w:color w:val="FFFFFF"/>
                <w:szCs w:val="21"/>
              </w:rPr>
            </w:pPr>
            <w:r>
              <w:rPr>
                <w:rFonts w:hint="eastAsia" w:ascii="仿宋" w:hAnsi="仿宋" w:eastAsia="仿宋" w:cs="楷体"/>
                <w:b/>
                <w:color w:val="FFFFFF"/>
                <w:szCs w:val="21"/>
              </w:rPr>
              <w:t>年薪/成本</w:t>
            </w:r>
          </w:p>
        </w:tc>
        <w:tc>
          <w:tcPr>
            <w:tcW w:w="2276"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hint="eastAsia" w:ascii="仿宋" w:hAnsi="仿宋" w:eastAsia="仿宋" w:cs="楷体"/>
                <w:b/>
                <w:color w:val="FFFFFF"/>
                <w:szCs w:val="21"/>
              </w:rPr>
            </w:pPr>
            <w:r>
              <w:rPr>
                <w:rFonts w:hint="eastAsia" w:ascii="仿宋" w:hAnsi="仿宋" w:eastAsia="仿宋" w:cs="楷体"/>
                <w:b/>
                <w:color w:val="FFFFFF"/>
                <w:szCs w:val="21"/>
              </w:rPr>
              <w:t>成本估算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2787"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1名项目经理人工成本</w:t>
            </w:r>
          </w:p>
        </w:tc>
        <w:tc>
          <w:tcPr>
            <w:tcW w:w="1243"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6</w:t>
            </w:r>
          </w:p>
        </w:tc>
        <w:tc>
          <w:tcPr>
            <w:tcW w:w="1336"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15万元</w:t>
            </w:r>
          </w:p>
        </w:tc>
        <w:tc>
          <w:tcPr>
            <w:tcW w:w="2276"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hint="eastAsia" w:ascii="仿宋" w:hAnsi="仿宋" w:eastAsia="仿宋" w:cs="楷体"/>
                <w:bCs/>
                <w:color w:val="000000"/>
                <w:szCs w:val="21"/>
              </w:rPr>
            </w:pPr>
            <w:r>
              <w:rPr>
                <w:rFonts w:hint="eastAsia" w:ascii="仿宋" w:hAnsi="仿宋" w:eastAsia="仿宋" w:cs="楷体"/>
                <w:bCs/>
                <w:color w:val="000000"/>
                <w:szCs w:val="21"/>
              </w:rPr>
              <w:t>3,600元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2787"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3名土地估价师人工成本</w:t>
            </w:r>
          </w:p>
        </w:tc>
        <w:tc>
          <w:tcPr>
            <w:tcW w:w="1243"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6</w:t>
            </w:r>
          </w:p>
        </w:tc>
        <w:tc>
          <w:tcPr>
            <w:tcW w:w="1336"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eastAsia" w:ascii="仿宋" w:hAnsi="仿宋" w:eastAsia="仿宋" w:cs="楷体"/>
                <w:bCs/>
                <w:color w:val="000000"/>
                <w:szCs w:val="21"/>
              </w:rPr>
            </w:pPr>
            <w:r>
              <w:rPr>
                <w:rFonts w:hint="eastAsia" w:ascii="仿宋" w:hAnsi="仿宋" w:eastAsia="仿宋" w:cs="楷体"/>
                <w:bCs/>
                <w:color w:val="000000"/>
                <w:szCs w:val="21"/>
              </w:rPr>
              <w:t>10万元</w:t>
            </w:r>
          </w:p>
        </w:tc>
        <w:tc>
          <w:tcPr>
            <w:tcW w:w="2276"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7,200元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2787"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6名估价师助理人工成本</w:t>
            </w:r>
          </w:p>
        </w:tc>
        <w:tc>
          <w:tcPr>
            <w:tcW w:w="1243"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6</w:t>
            </w:r>
          </w:p>
        </w:tc>
        <w:tc>
          <w:tcPr>
            <w:tcW w:w="1336"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6万元</w:t>
            </w:r>
          </w:p>
        </w:tc>
        <w:tc>
          <w:tcPr>
            <w:tcW w:w="2276"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8,640元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2787"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5名专家代表的费用</w:t>
            </w:r>
          </w:p>
        </w:tc>
        <w:tc>
          <w:tcPr>
            <w:tcW w:w="1243"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w:t>
            </w:r>
          </w:p>
        </w:tc>
        <w:tc>
          <w:tcPr>
            <w:tcW w:w="1336"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1000元每人</w:t>
            </w:r>
          </w:p>
        </w:tc>
        <w:tc>
          <w:tcPr>
            <w:tcW w:w="2276"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5,000元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2787"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10名村干部费用</w:t>
            </w:r>
          </w:p>
        </w:tc>
        <w:tc>
          <w:tcPr>
            <w:tcW w:w="1243"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w:t>
            </w:r>
          </w:p>
        </w:tc>
        <w:tc>
          <w:tcPr>
            <w:tcW w:w="1336"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200元每人</w:t>
            </w:r>
          </w:p>
        </w:tc>
        <w:tc>
          <w:tcPr>
            <w:tcW w:w="2276"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2,000元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2787"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
                <w:color w:val="000000"/>
                <w:szCs w:val="21"/>
              </w:rPr>
            </w:pPr>
            <w:r>
              <w:rPr>
                <w:rFonts w:hint="eastAsia" w:ascii="仿宋" w:hAnsi="仿宋" w:eastAsia="仿宋" w:cs="楷体"/>
                <w:b/>
                <w:color w:val="000000"/>
                <w:szCs w:val="21"/>
              </w:rPr>
              <w:t>合计</w:t>
            </w:r>
          </w:p>
        </w:tc>
        <w:tc>
          <w:tcPr>
            <w:tcW w:w="1243"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eastAsia" w:ascii="仿宋" w:hAnsi="仿宋" w:eastAsia="仿宋" w:cs="楷体"/>
                <w:b/>
                <w:color w:val="000000"/>
                <w:szCs w:val="21"/>
              </w:rPr>
            </w:pPr>
          </w:p>
        </w:tc>
        <w:tc>
          <w:tcPr>
            <w:tcW w:w="1336"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eastAsia" w:ascii="仿宋" w:hAnsi="仿宋" w:eastAsia="仿宋" w:cs="楷体"/>
                <w:b/>
                <w:color w:val="000000"/>
                <w:szCs w:val="21"/>
              </w:rPr>
            </w:pPr>
          </w:p>
        </w:tc>
        <w:tc>
          <w:tcPr>
            <w:tcW w:w="2276"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
                <w:color w:val="000000"/>
                <w:szCs w:val="21"/>
              </w:rPr>
            </w:pPr>
            <w:r>
              <w:rPr>
                <w:rFonts w:hint="eastAsia" w:ascii="仿宋" w:hAnsi="仿宋" w:eastAsia="仿宋" w:cs="楷体"/>
                <w:b/>
                <w:color w:val="000000"/>
                <w:szCs w:val="21"/>
              </w:rPr>
              <w:t>26,440元</w:t>
            </w:r>
          </w:p>
        </w:tc>
      </w:tr>
    </w:tbl>
    <w:p>
      <w:pPr>
        <w:spacing w:line="360" w:lineRule="auto"/>
        <w:ind w:firstLine="562" w:firstLineChars="200"/>
        <w:rPr>
          <w:rFonts w:hint="eastAsia" w:ascii="仿宋" w:hAnsi="仿宋" w:eastAsia="仿宋" w:cs="楷体"/>
          <w:b/>
          <w:sz w:val="28"/>
          <w:szCs w:val="28"/>
        </w:rPr>
      </w:pPr>
    </w:p>
    <w:p>
      <w:pPr>
        <w:spacing w:line="360" w:lineRule="auto"/>
        <w:ind w:firstLine="562" w:firstLineChars="200"/>
        <w:rPr>
          <w:rFonts w:hint="eastAsia" w:ascii="仿宋" w:hAnsi="仿宋" w:eastAsia="仿宋" w:cs="楷体"/>
          <w:b/>
          <w:sz w:val="28"/>
          <w:szCs w:val="28"/>
        </w:rPr>
      </w:pPr>
    </w:p>
    <w:p>
      <w:pPr>
        <w:spacing w:line="360" w:lineRule="auto"/>
        <w:ind w:firstLine="562" w:firstLineChars="200"/>
        <w:rPr>
          <w:rFonts w:hint="eastAsia" w:ascii="仿宋" w:hAnsi="仿宋" w:eastAsia="仿宋" w:cs="楷体"/>
          <w:b/>
          <w:sz w:val="28"/>
          <w:szCs w:val="28"/>
        </w:rPr>
      </w:pPr>
    </w:p>
    <w:p>
      <w:pPr>
        <w:spacing w:line="360" w:lineRule="auto"/>
        <w:ind w:firstLine="562" w:firstLineChars="200"/>
        <w:rPr>
          <w:rFonts w:hint="eastAsia" w:ascii="仿宋" w:hAnsi="仿宋" w:eastAsia="仿宋" w:cs="楷体"/>
          <w:b/>
          <w:sz w:val="28"/>
          <w:szCs w:val="28"/>
        </w:rPr>
      </w:pP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楷体"/>
          <w:b/>
          <w:sz w:val="24"/>
        </w:rPr>
      </w:pPr>
      <w:r>
        <w:rPr>
          <w:rFonts w:hint="eastAsia" w:ascii="仿宋" w:hAnsi="仿宋" w:eastAsia="仿宋" w:cs="楷体"/>
          <w:b/>
          <w:sz w:val="24"/>
        </w:rPr>
        <w:t>确定风险等级</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t>工作内容为：以问题化解为导向，根据调查和论证情况，按照低风险（C级）、中风险（B级）、高风险（A级）三个标准确定风险等级：（1）低风险（C级），调查与论证阶段发现的风险点、风险源，通过调整决策预案或采取相应化解措施，能够全部得到有效化解的；（2）中风险（B级），调查与论证阶段发现的风险点、风险源，通过调整决策预案或采取相应化解措施，大部分能够得到有效化解，剩余未化解的风险点、风险源不会造成矛盾对立、问题激化的；（3）高风险（A级），调查与论证阶段发现的风险点、风险源，通过调整决策预案或采取相应化解措施，多数无法得到有效化解，或者剩余未化解的风险点、风险源矛盾对立尖锐、容易引发不稳定事端的。</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t>此项工作需一名有项目经验的项目经理（土地估价师）及2名土地估价师完成，约需5个工作日，并聘请5为专家对风险等级进行打分，专家按2000元/人计算费用，具体成本如下：</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center"/>
        <w:textAlignment w:val="auto"/>
        <w:rPr>
          <w:rFonts w:hint="eastAsia" w:ascii="仿宋" w:hAnsi="仿宋" w:eastAsia="仿宋" w:cs="楷体"/>
          <w:bCs/>
          <w:sz w:val="24"/>
          <w:lang w:eastAsia="zh-CN"/>
        </w:rPr>
      </w:pPr>
      <w:r>
        <w:rPr>
          <w:rFonts w:hint="eastAsia" w:ascii="仿宋" w:hAnsi="仿宋" w:eastAsia="仿宋" w:cs="楷体"/>
          <w:b/>
          <w:sz w:val="24"/>
        </w:rPr>
        <w:t xml:space="preserve"> </w:t>
      </w:r>
      <w:r>
        <w:rPr>
          <w:rFonts w:ascii="仿宋" w:hAnsi="仿宋" w:eastAsia="仿宋" w:cs="楷体"/>
          <w:b/>
          <w:sz w:val="24"/>
        </w:rPr>
        <w:t xml:space="preserve">                   </w:t>
      </w:r>
      <w:r>
        <w:rPr>
          <w:rFonts w:hint="eastAsia" w:ascii="仿宋" w:hAnsi="仿宋" w:eastAsia="仿宋" w:cs="楷体"/>
          <w:b/>
          <w:sz w:val="24"/>
        </w:rPr>
        <w:t xml:space="preserve">确定风险等级成本 </w:t>
      </w:r>
      <w:r>
        <w:rPr>
          <w:rFonts w:ascii="仿宋" w:hAnsi="仿宋" w:eastAsia="仿宋" w:cs="楷体"/>
          <w:b/>
          <w:sz w:val="24"/>
        </w:rPr>
        <w:t xml:space="preserve">                  </w:t>
      </w:r>
      <w:r>
        <w:rPr>
          <w:rFonts w:hint="eastAsia" w:ascii="仿宋" w:hAnsi="仿宋" w:eastAsia="仿宋" w:cs="楷体"/>
          <w:sz w:val="24"/>
        </w:rPr>
        <w:t>表</w:t>
      </w:r>
      <w:r>
        <w:rPr>
          <w:rFonts w:hint="eastAsia" w:ascii="仿宋" w:hAnsi="仿宋" w:eastAsia="仿宋" w:cs="楷体"/>
          <w:sz w:val="24"/>
          <w:lang w:val="en-US" w:eastAsia="zh-CN"/>
        </w:rPr>
        <w:t>6</w:t>
      </w:r>
    </w:p>
    <w:tbl>
      <w:tblPr>
        <w:tblStyle w:val="5"/>
        <w:tblpPr w:leftFromText="180" w:rightFromText="180" w:vertAnchor="text" w:horzAnchor="page" w:tblpX="2532" w:tblpY="161"/>
        <w:tblOverlap w:val="never"/>
        <w:tblW w:w="764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589"/>
        <w:gridCol w:w="1441"/>
        <w:gridCol w:w="1336"/>
        <w:gridCol w:w="22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589"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楷体"/>
                <w:b/>
                <w:color w:val="FFFFFF"/>
                <w:szCs w:val="21"/>
              </w:rPr>
            </w:pPr>
            <w:r>
              <w:rPr>
                <w:rFonts w:hint="eastAsia" w:ascii="仿宋" w:hAnsi="仿宋" w:eastAsia="仿宋" w:cs="楷体"/>
                <w:b/>
                <w:color w:val="FFFFFF"/>
                <w:szCs w:val="21"/>
              </w:rPr>
              <w:t>人员组成</w:t>
            </w:r>
          </w:p>
        </w:tc>
        <w:tc>
          <w:tcPr>
            <w:tcW w:w="1441"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楷体"/>
                <w:b/>
                <w:color w:val="FFFFFF"/>
                <w:szCs w:val="21"/>
              </w:rPr>
            </w:pPr>
            <w:r>
              <w:rPr>
                <w:rFonts w:hint="eastAsia" w:ascii="仿宋" w:hAnsi="仿宋" w:eastAsia="仿宋" w:cs="楷体"/>
                <w:b/>
                <w:color w:val="FFFFFF"/>
                <w:szCs w:val="21"/>
              </w:rPr>
              <w:t>工作日/人数</w:t>
            </w:r>
          </w:p>
        </w:tc>
        <w:tc>
          <w:tcPr>
            <w:tcW w:w="1336"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楷体"/>
                <w:b/>
                <w:color w:val="FFFFFF"/>
                <w:szCs w:val="21"/>
              </w:rPr>
            </w:pPr>
            <w:r>
              <w:rPr>
                <w:rFonts w:hint="eastAsia" w:ascii="仿宋" w:hAnsi="仿宋" w:eastAsia="仿宋" w:cs="楷体"/>
                <w:b/>
                <w:color w:val="FFFFFF"/>
                <w:szCs w:val="21"/>
              </w:rPr>
              <w:t>年薪/薪酬</w:t>
            </w:r>
          </w:p>
        </w:tc>
        <w:tc>
          <w:tcPr>
            <w:tcW w:w="2276"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hint="eastAsia" w:ascii="仿宋" w:hAnsi="仿宋" w:eastAsia="仿宋" w:cs="楷体"/>
                <w:b/>
                <w:color w:val="FFFFFF"/>
                <w:szCs w:val="21"/>
              </w:rPr>
            </w:pPr>
            <w:r>
              <w:rPr>
                <w:rFonts w:hint="eastAsia" w:ascii="仿宋" w:hAnsi="仿宋" w:eastAsia="仿宋" w:cs="楷体"/>
                <w:b/>
                <w:color w:val="FFFFFF"/>
                <w:szCs w:val="21"/>
              </w:rPr>
              <w:t>成本估算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589"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1名项目经理人工成本</w:t>
            </w:r>
          </w:p>
        </w:tc>
        <w:tc>
          <w:tcPr>
            <w:tcW w:w="1441"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5</w:t>
            </w:r>
          </w:p>
        </w:tc>
        <w:tc>
          <w:tcPr>
            <w:tcW w:w="1336"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15万元</w:t>
            </w:r>
          </w:p>
        </w:tc>
        <w:tc>
          <w:tcPr>
            <w:tcW w:w="2276"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hint="eastAsia" w:ascii="仿宋" w:hAnsi="仿宋" w:eastAsia="仿宋" w:cs="楷体"/>
                <w:bCs/>
                <w:color w:val="000000"/>
                <w:szCs w:val="21"/>
              </w:rPr>
            </w:pPr>
            <w:r>
              <w:rPr>
                <w:rFonts w:hint="eastAsia" w:ascii="仿宋" w:hAnsi="仿宋" w:eastAsia="仿宋" w:cs="楷体"/>
                <w:bCs/>
                <w:color w:val="000000"/>
                <w:szCs w:val="21"/>
              </w:rPr>
              <w:t>3,000元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589"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2名土地估价师人工成本</w:t>
            </w:r>
          </w:p>
        </w:tc>
        <w:tc>
          <w:tcPr>
            <w:tcW w:w="1441"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5</w:t>
            </w:r>
          </w:p>
        </w:tc>
        <w:tc>
          <w:tcPr>
            <w:tcW w:w="1336"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eastAsia" w:ascii="仿宋" w:hAnsi="仿宋" w:eastAsia="仿宋" w:cs="楷体"/>
                <w:bCs/>
                <w:color w:val="000000"/>
                <w:szCs w:val="21"/>
              </w:rPr>
            </w:pPr>
            <w:r>
              <w:rPr>
                <w:rFonts w:hint="eastAsia" w:ascii="仿宋" w:hAnsi="仿宋" w:eastAsia="仿宋" w:cs="楷体"/>
                <w:bCs/>
                <w:color w:val="000000"/>
                <w:szCs w:val="21"/>
              </w:rPr>
              <w:t>10万元</w:t>
            </w:r>
          </w:p>
        </w:tc>
        <w:tc>
          <w:tcPr>
            <w:tcW w:w="2276"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4,000元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589"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5名专家费用</w:t>
            </w:r>
          </w:p>
        </w:tc>
        <w:tc>
          <w:tcPr>
            <w:tcW w:w="1441"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w:t>
            </w:r>
          </w:p>
        </w:tc>
        <w:tc>
          <w:tcPr>
            <w:tcW w:w="1336"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2000元每人</w:t>
            </w:r>
          </w:p>
        </w:tc>
        <w:tc>
          <w:tcPr>
            <w:tcW w:w="2276"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10,000元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2589"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
                <w:color w:val="000000"/>
                <w:szCs w:val="21"/>
              </w:rPr>
            </w:pPr>
            <w:r>
              <w:rPr>
                <w:rFonts w:hint="eastAsia" w:ascii="仿宋" w:hAnsi="仿宋" w:eastAsia="仿宋" w:cs="楷体"/>
                <w:b/>
                <w:color w:val="000000"/>
                <w:szCs w:val="21"/>
              </w:rPr>
              <w:t>合计</w:t>
            </w:r>
          </w:p>
        </w:tc>
        <w:tc>
          <w:tcPr>
            <w:tcW w:w="1441"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eastAsia" w:ascii="仿宋" w:hAnsi="仿宋" w:eastAsia="仿宋" w:cs="楷体"/>
                <w:b/>
                <w:color w:val="000000"/>
                <w:szCs w:val="21"/>
              </w:rPr>
            </w:pPr>
          </w:p>
        </w:tc>
        <w:tc>
          <w:tcPr>
            <w:tcW w:w="1336"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eastAsia" w:ascii="仿宋" w:hAnsi="仿宋" w:eastAsia="仿宋" w:cs="楷体"/>
                <w:b/>
                <w:color w:val="000000"/>
                <w:szCs w:val="21"/>
              </w:rPr>
            </w:pPr>
          </w:p>
        </w:tc>
        <w:tc>
          <w:tcPr>
            <w:tcW w:w="2276"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
                <w:color w:val="000000"/>
                <w:szCs w:val="21"/>
              </w:rPr>
            </w:pPr>
            <w:r>
              <w:rPr>
                <w:rFonts w:hint="eastAsia" w:ascii="仿宋" w:hAnsi="仿宋" w:eastAsia="仿宋" w:cs="楷体"/>
                <w:b/>
                <w:color w:val="000000"/>
                <w:szCs w:val="21"/>
              </w:rPr>
              <w:t>17,000元</w:t>
            </w:r>
          </w:p>
        </w:tc>
      </w:tr>
    </w:tbl>
    <w:p>
      <w:pPr>
        <w:spacing w:line="360" w:lineRule="auto"/>
        <w:ind w:firstLine="560" w:firstLineChars="200"/>
        <w:rPr>
          <w:rFonts w:hint="eastAsia" w:ascii="仿宋" w:hAnsi="仿宋" w:eastAsia="仿宋" w:cs="楷体"/>
          <w:bCs/>
          <w:sz w:val="28"/>
          <w:szCs w:val="28"/>
        </w:rPr>
      </w:pPr>
    </w:p>
    <w:p>
      <w:pPr>
        <w:spacing w:line="360" w:lineRule="auto"/>
        <w:ind w:firstLine="560" w:firstLineChars="200"/>
        <w:rPr>
          <w:rFonts w:hint="eastAsia" w:ascii="仿宋" w:hAnsi="仿宋" w:eastAsia="仿宋" w:cs="楷体"/>
          <w:bCs/>
          <w:sz w:val="28"/>
          <w:szCs w:val="28"/>
        </w:rPr>
      </w:pPr>
    </w:p>
    <w:p>
      <w:pPr>
        <w:spacing w:line="360" w:lineRule="auto"/>
        <w:ind w:firstLine="560" w:firstLineChars="200"/>
        <w:rPr>
          <w:rFonts w:hint="eastAsia" w:ascii="仿宋" w:hAnsi="仿宋" w:eastAsia="仿宋" w:cs="楷体"/>
          <w:bCs/>
          <w:sz w:val="28"/>
          <w:szCs w:val="28"/>
        </w:rPr>
      </w:pPr>
    </w:p>
    <w:p>
      <w:pPr>
        <w:pStyle w:val="14"/>
        <w:keepNext w:val="0"/>
        <w:keepLines w:val="0"/>
        <w:pageBreakBefore w:val="0"/>
        <w:widowControl w:val="0"/>
        <w:numPr>
          <w:ilvl w:val="0"/>
          <w:numId w:val="1"/>
        </w:numPr>
        <w:tabs>
          <w:tab w:val="left" w:pos="1074"/>
        </w:tabs>
        <w:kinsoku/>
        <w:wordWrap/>
        <w:overflowPunct/>
        <w:topLinePunct w:val="0"/>
        <w:autoSpaceDE/>
        <w:autoSpaceDN/>
        <w:bidi w:val="0"/>
        <w:adjustRightInd/>
        <w:snapToGrid/>
        <w:spacing w:line="560" w:lineRule="exact"/>
        <w:ind w:left="0" w:firstLine="482" w:firstLineChars="200"/>
        <w:textAlignment w:val="auto"/>
        <w:rPr>
          <w:b/>
          <w:bCs/>
          <w:spacing w:val="0"/>
          <w:sz w:val="24"/>
        </w:rPr>
      </w:pPr>
      <w:r>
        <w:rPr>
          <w:b/>
          <w:bCs/>
          <w:spacing w:val="0"/>
          <w:sz w:val="24"/>
        </w:rPr>
        <w:t>编制评估报告</w:t>
      </w:r>
    </w:p>
    <w:p>
      <w:pPr>
        <w:pStyle w:val="14"/>
        <w:keepNext w:val="0"/>
        <w:keepLines w:val="0"/>
        <w:pageBreakBefore w:val="0"/>
        <w:widowControl w:val="0"/>
        <w:tabs>
          <w:tab w:val="left" w:pos="1074"/>
        </w:tabs>
        <w:kinsoku/>
        <w:wordWrap/>
        <w:overflowPunct/>
        <w:topLinePunct w:val="0"/>
        <w:autoSpaceDE/>
        <w:autoSpaceDN/>
        <w:bidi w:val="0"/>
        <w:adjustRightInd/>
        <w:snapToGrid/>
        <w:spacing w:line="560" w:lineRule="exact"/>
        <w:ind w:left="0" w:firstLine="480" w:firstLineChars="200"/>
        <w:textAlignment w:val="auto"/>
        <w:rPr>
          <w:spacing w:val="-13"/>
          <w:sz w:val="24"/>
        </w:rPr>
      </w:pPr>
      <w:r>
        <w:rPr>
          <w:rFonts w:hint="eastAsia" w:cs="楷体"/>
          <w:bCs/>
          <w:sz w:val="24"/>
          <w:lang w:val="en-US"/>
        </w:rPr>
        <w:t>工作内容为：</w:t>
      </w:r>
      <w:r>
        <w:rPr>
          <w:spacing w:val="-11"/>
          <w:w w:val="95"/>
          <w:sz w:val="24"/>
        </w:rPr>
        <w:t>土地征收社会稳定风险评估报告包括评估</w:t>
      </w:r>
      <w:r>
        <w:rPr>
          <w:spacing w:val="-15"/>
          <w:sz w:val="24"/>
        </w:rPr>
        <w:t>事项和评估过程，各方意见采纳情况，决策可能引发的社会稳定</w:t>
      </w:r>
      <w:r>
        <w:rPr>
          <w:spacing w:val="-13"/>
          <w:w w:val="95"/>
          <w:sz w:val="24"/>
        </w:rPr>
        <w:t>风险，风险评估结论和对策建议，风险防范和化解措施及应急预</w:t>
      </w:r>
      <w:r>
        <w:rPr>
          <w:spacing w:val="-13"/>
          <w:sz w:val="24"/>
        </w:rPr>
        <w:t>案制定情况等内容。</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t>此项工作需一名有项目经验的项目经理（土地估价师）及2名土地估价师完成，约需5个工作日，具体成本如下：</w:t>
      </w:r>
    </w:p>
    <w:p>
      <w:pPr>
        <w:keepNext w:val="0"/>
        <w:keepLines w:val="0"/>
        <w:pageBreakBefore w:val="0"/>
        <w:widowControl w:val="0"/>
        <w:kinsoku/>
        <w:wordWrap/>
        <w:overflowPunct/>
        <w:topLinePunct w:val="0"/>
        <w:autoSpaceDE/>
        <w:autoSpaceDN/>
        <w:bidi w:val="0"/>
        <w:adjustRightInd/>
        <w:snapToGrid/>
        <w:spacing w:line="560" w:lineRule="exact"/>
        <w:ind w:right="723" w:firstLine="482" w:firstLineChars="200"/>
        <w:jc w:val="right"/>
        <w:textAlignment w:val="auto"/>
        <w:rPr>
          <w:rFonts w:hint="eastAsia" w:ascii="仿宋" w:hAnsi="仿宋" w:eastAsia="仿宋" w:cs="楷体"/>
          <w:bCs/>
          <w:sz w:val="24"/>
          <w:lang w:eastAsia="zh-CN"/>
        </w:rPr>
      </w:pPr>
      <w:r>
        <w:rPr>
          <w:rFonts w:hint="eastAsia" w:ascii="仿宋" w:hAnsi="仿宋" w:eastAsia="仿宋" w:cs="楷体"/>
          <w:b/>
          <w:sz w:val="24"/>
        </w:rPr>
        <w:t xml:space="preserve">编制评估报告成本 </w:t>
      </w:r>
      <w:r>
        <w:rPr>
          <w:rFonts w:ascii="仿宋" w:hAnsi="仿宋" w:eastAsia="仿宋" w:cs="楷体"/>
          <w:b/>
          <w:sz w:val="24"/>
        </w:rPr>
        <w:t xml:space="preserve">                  </w:t>
      </w:r>
      <w:r>
        <w:rPr>
          <w:rFonts w:hint="eastAsia" w:ascii="仿宋" w:hAnsi="仿宋" w:eastAsia="仿宋" w:cs="楷体"/>
          <w:sz w:val="24"/>
        </w:rPr>
        <w:t>表</w:t>
      </w:r>
      <w:r>
        <w:rPr>
          <w:rFonts w:hint="eastAsia" w:ascii="仿宋" w:hAnsi="仿宋" w:eastAsia="仿宋" w:cs="楷体"/>
          <w:sz w:val="24"/>
          <w:lang w:val="en-US" w:eastAsia="zh-CN"/>
        </w:rPr>
        <w:t>7</w:t>
      </w:r>
    </w:p>
    <w:tbl>
      <w:tblPr>
        <w:tblStyle w:val="5"/>
        <w:tblpPr w:leftFromText="180" w:rightFromText="180" w:vertAnchor="text" w:horzAnchor="page" w:tblpX="2532" w:tblpY="161"/>
        <w:tblOverlap w:val="never"/>
        <w:tblW w:w="764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787"/>
        <w:gridCol w:w="1243"/>
        <w:gridCol w:w="1336"/>
        <w:gridCol w:w="22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2787"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楷体"/>
                <w:b/>
                <w:color w:val="FFFFFF"/>
                <w:szCs w:val="21"/>
              </w:rPr>
            </w:pPr>
            <w:r>
              <w:rPr>
                <w:rFonts w:hint="eastAsia" w:ascii="仿宋" w:hAnsi="仿宋" w:eastAsia="仿宋" w:cs="楷体"/>
                <w:b/>
                <w:color w:val="FFFFFF"/>
                <w:szCs w:val="21"/>
              </w:rPr>
              <w:t>人员组成</w:t>
            </w:r>
          </w:p>
        </w:tc>
        <w:tc>
          <w:tcPr>
            <w:tcW w:w="1243"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楷体"/>
                <w:b/>
                <w:color w:val="FFFFFF"/>
                <w:szCs w:val="21"/>
              </w:rPr>
            </w:pPr>
            <w:r>
              <w:rPr>
                <w:rFonts w:hint="eastAsia" w:ascii="仿宋" w:hAnsi="仿宋" w:eastAsia="仿宋" w:cs="楷体"/>
                <w:b/>
                <w:color w:val="FFFFFF"/>
                <w:szCs w:val="21"/>
              </w:rPr>
              <w:t>工作日</w:t>
            </w:r>
          </w:p>
        </w:tc>
        <w:tc>
          <w:tcPr>
            <w:tcW w:w="1336"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楷体"/>
                <w:b/>
                <w:color w:val="FFFFFF"/>
                <w:szCs w:val="21"/>
              </w:rPr>
            </w:pPr>
            <w:r>
              <w:rPr>
                <w:rFonts w:hint="eastAsia" w:ascii="仿宋" w:hAnsi="仿宋" w:eastAsia="仿宋" w:cs="楷体"/>
                <w:b/>
                <w:color w:val="FFFFFF"/>
                <w:szCs w:val="21"/>
              </w:rPr>
              <w:t>年薪</w:t>
            </w:r>
          </w:p>
        </w:tc>
        <w:tc>
          <w:tcPr>
            <w:tcW w:w="2276"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hint="eastAsia" w:ascii="仿宋" w:hAnsi="仿宋" w:eastAsia="仿宋" w:cs="楷体"/>
                <w:b/>
                <w:color w:val="FFFFFF"/>
                <w:szCs w:val="21"/>
              </w:rPr>
            </w:pPr>
            <w:r>
              <w:rPr>
                <w:rFonts w:hint="eastAsia" w:ascii="仿宋" w:hAnsi="仿宋" w:eastAsia="仿宋" w:cs="楷体"/>
                <w:b/>
                <w:color w:val="FFFFFF"/>
                <w:szCs w:val="21"/>
              </w:rPr>
              <w:t>成本估算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787"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1名项目经理人工成本</w:t>
            </w:r>
          </w:p>
        </w:tc>
        <w:tc>
          <w:tcPr>
            <w:tcW w:w="1243"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5</w:t>
            </w:r>
          </w:p>
        </w:tc>
        <w:tc>
          <w:tcPr>
            <w:tcW w:w="1336"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15万元</w:t>
            </w:r>
          </w:p>
        </w:tc>
        <w:tc>
          <w:tcPr>
            <w:tcW w:w="2276"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hint="eastAsia" w:ascii="仿宋" w:hAnsi="仿宋" w:eastAsia="仿宋" w:cs="楷体"/>
                <w:bCs/>
                <w:color w:val="000000"/>
                <w:szCs w:val="21"/>
              </w:rPr>
            </w:pPr>
            <w:r>
              <w:rPr>
                <w:rFonts w:hint="eastAsia" w:ascii="仿宋" w:hAnsi="仿宋" w:eastAsia="仿宋" w:cs="楷体"/>
                <w:bCs/>
                <w:color w:val="000000"/>
                <w:szCs w:val="21"/>
              </w:rPr>
              <w:t>3,000元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2787"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2名土地估价师人工成本</w:t>
            </w:r>
          </w:p>
        </w:tc>
        <w:tc>
          <w:tcPr>
            <w:tcW w:w="1243"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5</w:t>
            </w:r>
          </w:p>
        </w:tc>
        <w:tc>
          <w:tcPr>
            <w:tcW w:w="1336"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eastAsia" w:ascii="仿宋" w:hAnsi="仿宋" w:eastAsia="仿宋" w:cs="楷体"/>
                <w:bCs/>
                <w:color w:val="000000"/>
                <w:szCs w:val="21"/>
              </w:rPr>
            </w:pPr>
            <w:r>
              <w:rPr>
                <w:rFonts w:hint="eastAsia" w:ascii="仿宋" w:hAnsi="仿宋" w:eastAsia="仿宋" w:cs="楷体"/>
                <w:bCs/>
                <w:color w:val="000000"/>
                <w:szCs w:val="21"/>
              </w:rPr>
              <w:t>10万元</w:t>
            </w:r>
          </w:p>
        </w:tc>
        <w:tc>
          <w:tcPr>
            <w:tcW w:w="2276"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4,000元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7"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报告打印装订费</w:t>
            </w:r>
          </w:p>
        </w:tc>
        <w:tc>
          <w:tcPr>
            <w:tcW w:w="1243"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p>
        </w:tc>
        <w:tc>
          <w:tcPr>
            <w:tcW w:w="1336"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p>
        </w:tc>
        <w:tc>
          <w:tcPr>
            <w:tcW w:w="2276" w:type="dxa"/>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500元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787"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
                <w:color w:val="000000"/>
                <w:szCs w:val="21"/>
              </w:rPr>
            </w:pPr>
            <w:r>
              <w:rPr>
                <w:rFonts w:hint="eastAsia" w:ascii="仿宋" w:hAnsi="仿宋" w:eastAsia="仿宋" w:cs="楷体"/>
                <w:b/>
                <w:color w:val="000000"/>
                <w:szCs w:val="21"/>
              </w:rPr>
              <w:t>合计</w:t>
            </w:r>
          </w:p>
        </w:tc>
        <w:tc>
          <w:tcPr>
            <w:tcW w:w="1243"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eastAsia" w:ascii="仿宋" w:hAnsi="仿宋" w:eastAsia="仿宋" w:cs="楷体"/>
                <w:b/>
                <w:color w:val="000000"/>
                <w:szCs w:val="21"/>
              </w:rPr>
            </w:pPr>
          </w:p>
        </w:tc>
        <w:tc>
          <w:tcPr>
            <w:tcW w:w="1336"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eastAsia" w:ascii="仿宋" w:hAnsi="仿宋" w:eastAsia="仿宋" w:cs="楷体"/>
                <w:b/>
                <w:color w:val="000000"/>
                <w:szCs w:val="21"/>
              </w:rPr>
            </w:pPr>
          </w:p>
        </w:tc>
        <w:tc>
          <w:tcPr>
            <w:tcW w:w="2276"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
                <w:color w:val="000000"/>
                <w:szCs w:val="21"/>
              </w:rPr>
            </w:pPr>
            <w:r>
              <w:rPr>
                <w:rFonts w:hint="eastAsia" w:ascii="仿宋" w:hAnsi="仿宋" w:eastAsia="仿宋" w:cs="楷体"/>
                <w:b/>
                <w:color w:val="000000"/>
                <w:szCs w:val="21"/>
              </w:rPr>
              <w:t>7,500元</w:t>
            </w:r>
          </w:p>
        </w:tc>
      </w:tr>
    </w:tbl>
    <w:p>
      <w:pPr>
        <w:pStyle w:val="14"/>
        <w:tabs>
          <w:tab w:val="left" w:pos="1074"/>
        </w:tabs>
        <w:spacing w:line="360" w:lineRule="auto"/>
        <w:ind w:left="0" w:firstLine="560" w:firstLineChars="200"/>
        <w:rPr>
          <w:rFonts w:hint="eastAsia" w:cs="楷体"/>
          <w:bCs/>
          <w:sz w:val="28"/>
          <w:szCs w:val="28"/>
          <w:lang w:val="en-US"/>
        </w:rPr>
      </w:pPr>
    </w:p>
    <w:p>
      <w:pPr>
        <w:pStyle w:val="14"/>
        <w:tabs>
          <w:tab w:val="left" w:pos="1074"/>
        </w:tabs>
        <w:spacing w:line="360" w:lineRule="auto"/>
        <w:ind w:left="0" w:firstLine="560" w:firstLineChars="200"/>
        <w:rPr>
          <w:rFonts w:hint="eastAsia" w:cs="楷体"/>
          <w:bCs/>
          <w:sz w:val="28"/>
          <w:szCs w:val="28"/>
          <w:lang w:val="en-US"/>
        </w:rPr>
      </w:pPr>
    </w:p>
    <w:p>
      <w:pPr>
        <w:pStyle w:val="14"/>
        <w:tabs>
          <w:tab w:val="left" w:pos="1074"/>
        </w:tabs>
        <w:spacing w:line="360" w:lineRule="auto"/>
        <w:ind w:left="0" w:firstLine="0"/>
        <w:rPr>
          <w:rFonts w:hint="eastAsia"/>
          <w:b/>
          <w:bCs/>
          <w:spacing w:val="-15"/>
          <w:sz w:val="32"/>
          <w:lang w:val="en-US"/>
        </w:rPr>
      </w:pPr>
    </w:p>
    <w:p>
      <w:pPr>
        <w:pStyle w:val="14"/>
        <w:keepNext w:val="0"/>
        <w:keepLines w:val="0"/>
        <w:pageBreakBefore w:val="0"/>
        <w:widowControl w:val="0"/>
        <w:numPr>
          <w:ilvl w:val="0"/>
          <w:numId w:val="1"/>
        </w:numPr>
        <w:tabs>
          <w:tab w:val="left" w:pos="1074"/>
        </w:tabs>
        <w:kinsoku/>
        <w:wordWrap/>
        <w:overflowPunct/>
        <w:topLinePunct w:val="0"/>
        <w:autoSpaceDE/>
        <w:autoSpaceDN/>
        <w:bidi w:val="0"/>
        <w:adjustRightInd/>
        <w:snapToGrid/>
        <w:spacing w:line="560" w:lineRule="exact"/>
        <w:ind w:left="0" w:firstLine="482" w:firstLineChars="200"/>
        <w:textAlignment w:val="auto"/>
        <w:rPr>
          <w:b/>
          <w:bCs/>
          <w:spacing w:val="0"/>
          <w:sz w:val="24"/>
        </w:rPr>
      </w:pPr>
      <w:r>
        <w:rPr>
          <w:b/>
          <w:bCs/>
          <w:spacing w:val="0"/>
          <w:sz w:val="24"/>
        </w:rPr>
        <w:t>评估报告备案</w:t>
      </w:r>
    </w:p>
    <w:p>
      <w:pPr>
        <w:pStyle w:val="14"/>
        <w:keepNext w:val="0"/>
        <w:keepLines w:val="0"/>
        <w:pageBreakBefore w:val="0"/>
        <w:widowControl w:val="0"/>
        <w:tabs>
          <w:tab w:val="left" w:pos="1074"/>
        </w:tabs>
        <w:kinsoku/>
        <w:wordWrap/>
        <w:overflowPunct/>
        <w:topLinePunct w:val="0"/>
        <w:autoSpaceDE/>
        <w:autoSpaceDN/>
        <w:bidi w:val="0"/>
        <w:adjustRightInd/>
        <w:snapToGrid/>
        <w:spacing w:line="560" w:lineRule="exact"/>
        <w:ind w:left="0" w:firstLine="412" w:firstLineChars="200"/>
        <w:textAlignment w:val="auto"/>
        <w:rPr>
          <w:sz w:val="24"/>
        </w:rPr>
      </w:pPr>
      <w:r>
        <w:rPr>
          <w:rFonts w:hint="eastAsia"/>
          <w:spacing w:val="-11"/>
          <w:w w:val="95"/>
          <w:sz w:val="24"/>
          <w:lang w:val="en-US"/>
        </w:rPr>
        <w:t>工作内容为：</w:t>
      </w:r>
      <w:r>
        <w:rPr>
          <w:spacing w:val="-11"/>
          <w:w w:val="95"/>
          <w:sz w:val="24"/>
        </w:rPr>
        <w:t>送交《江西省重大决策社会稳定风险评估</w:t>
      </w:r>
      <w:r>
        <w:rPr>
          <w:spacing w:val="-13"/>
          <w:sz w:val="24"/>
        </w:rPr>
        <w:t>备案表》及评估报告到政法委备案。备案后，应将有关材料归档保存。</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lang w:eastAsia="zh-CN"/>
        </w:rPr>
        <w:t>此项工作需一名有项目经验的项目经理（土地估价师）完成</w:t>
      </w:r>
      <w:r>
        <w:rPr>
          <w:rFonts w:hint="eastAsia" w:ascii="仿宋" w:hAnsi="仿宋" w:eastAsia="仿宋" w:cs="楷体"/>
          <w:bCs/>
          <w:sz w:val="24"/>
        </w:rPr>
        <w:t>，约需1个工作日，具体成本如下：</w:t>
      </w:r>
    </w:p>
    <w:p>
      <w:pPr>
        <w:keepNext w:val="0"/>
        <w:keepLines w:val="0"/>
        <w:pageBreakBefore w:val="0"/>
        <w:widowControl w:val="0"/>
        <w:kinsoku/>
        <w:wordWrap/>
        <w:overflowPunct/>
        <w:topLinePunct w:val="0"/>
        <w:autoSpaceDE/>
        <w:autoSpaceDN/>
        <w:bidi w:val="0"/>
        <w:adjustRightInd/>
        <w:snapToGrid/>
        <w:spacing w:line="560" w:lineRule="exact"/>
        <w:ind w:right="723" w:firstLine="482" w:firstLineChars="200"/>
        <w:jc w:val="right"/>
        <w:textAlignment w:val="auto"/>
        <w:rPr>
          <w:rFonts w:hint="eastAsia" w:ascii="仿宋" w:hAnsi="仿宋" w:eastAsia="仿宋" w:cs="楷体"/>
          <w:b/>
          <w:sz w:val="24"/>
        </w:rPr>
      </w:pPr>
    </w:p>
    <w:p>
      <w:pPr>
        <w:keepNext w:val="0"/>
        <w:keepLines w:val="0"/>
        <w:pageBreakBefore w:val="0"/>
        <w:widowControl w:val="0"/>
        <w:kinsoku/>
        <w:wordWrap/>
        <w:overflowPunct/>
        <w:topLinePunct w:val="0"/>
        <w:autoSpaceDE/>
        <w:autoSpaceDN/>
        <w:bidi w:val="0"/>
        <w:adjustRightInd/>
        <w:snapToGrid/>
        <w:spacing w:line="560" w:lineRule="exact"/>
        <w:ind w:right="723" w:firstLine="482" w:firstLineChars="200"/>
        <w:jc w:val="right"/>
        <w:textAlignment w:val="auto"/>
        <w:rPr>
          <w:rFonts w:hint="eastAsia" w:ascii="仿宋" w:hAnsi="仿宋" w:eastAsia="仿宋" w:cs="楷体"/>
          <w:bCs/>
          <w:sz w:val="24"/>
          <w:lang w:eastAsia="zh-CN"/>
        </w:rPr>
      </w:pPr>
      <w:r>
        <w:rPr>
          <w:rFonts w:hint="eastAsia" w:ascii="仿宋" w:hAnsi="仿宋" w:eastAsia="仿宋" w:cs="楷体"/>
          <w:b/>
          <w:sz w:val="24"/>
        </w:rPr>
        <w:t xml:space="preserve">评估报告备案成本 </w:t>
      </w:r>
      <w:r>
        <w:rPr>
          <w:rFonts w:ascii="仿宋" w:hAnsi="仿宋" w:eastAsia="仿宋" w:cs="楷体"/>
          <w:b/>
          <w:sz w:val="24"/>
        </w:rPr>
        <w:t xml:space="preserve">                </w:t>
      </w:r>
      <w:r>
        <w:rPr>
          <w:rFonts w:hint="eastAsia" w:ascii="仿宋" w:hAnsi="仿宋" w:eastAsia="仿宋" w:cs="楷体"/>
          <w:sz w:val="24"/>
        </w:rPr>
        <w:t>表</w:t>
      </w:r>
      <w:r>
        <w:rPr>
          <w:rFonts w:hint="eastAsia" w:ascii="仿宋" w:hAnsi="仿宋" w:eastAsia="仿宋" w:cs="楷体"/>
          <w:sz w:val="24"/>
          <w:lang w:val="en-US" w:eastAsia="zh-CN"/>
        </w:rPr>
        <w:t>8</w:t>
      </w:r>
    </w:p>
    <w:tbl>
      <w:tblPr>
        <w:tblStyle w:val="5"/>
        <w:tblpPr w:leftFromText="180" w:rightFromText="180" w:vertAnchor="text" w:horzAnchor="page" w:tblpX="2532" w:tblpY="161"/>
        <w:tblOverlap w:val="never"/>
        <w:tblW w:w="764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787"/>
        <w:gridCol w:w="1243"/>
        <w:gridCol w:w="1336"/>
        <w:gridCol w:w="2276"/>
      </w:tblGrid>
      <w:tr>
        <w:tblPrEx>
          <w:tblCellMar>
            <w:top w:w="0" w:type="dxa"/>
            <w:left w:w="108" w:type="dxa"/>
            <w:bottom w:w="0" w:type="dxa"/>
            <w:right w:w="108" w:type="dxa"/>
          </w:tblCellMar>
        </w:tblPrEx>
        <w:trPr>
          <w:trHeight w:val="461" w:hRule="atLeast"/>
        </w:trPr>
        <w:tc>
          <w:tcPr>
            <w:tcW w:w="2787"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楷体"/>
                <w:b/>
                <w:color w:val="FFFFFF"/>
                <w:szCs w:val="21"/>
              </w:rPr>
            </w:pPr>
            <w:r>
              <w:rPr>
                <w:rFonts w:hint="eastAsia" w:ascii="仿宋" w:hAnsi="仿宋" w:eastAsia="仿宋" w:cs="楷体"/>
                <w:b/>
                <w:color w:val="FFFFFF"/>
                <w:szCs w:val="21"/>
              </w:rPr>
              <w:t>人员组成</w:t>
            </w:r>
          </w:p>
        </w:tc>
        <w:tc>
          <w:tcPr>
            <w:tcW w:w="1243"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楷体"/>
                <w:b/>
                <w:color w:val="FFFFFF"/>
                <w:szCs w:val="21"/>
              </w:rPr>
            </w:pPr>
            <w:r>
              <w:rPr>
                <w:rFonts w:hint="eastAsia" w:ascii="仿宋" w:hAnsi="仿宋" w:eastAsia="仿宋" w:cs="楷体"/>
                <w:b/>
                <w:color w:val="FFFFFF"/>
                <w:szCs w:val="21"/>
              </w:rPr>
              <w:t>工作日</w:t>
            </w:r>
          </w:p>
        </w:tc>
        <w:tc>
          <w:tcPr>
            <w:tcW w:w="1336"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ascii="仿宋" w:hAnsi="仿宋" w:eastAsia="仿宋" w:cs="楷体"/>
                <w:b/>
                <w:color w:val="FFFFFF"/>
                <w:szCs w:val="21"/>
              </w:rPr>
            </w:pPr>
            <w:r>
              <w:rPr>
                <w:rFonts w:hint="eastAsia" w:ascii="仿宋" w:hAnsi="仿宋" w:eastAsia="仿宋" w:cs="楷体"/>
                <w:b/>
                <w:color w:val="FFFFFF"/>
                <w:szCs w:val="21"/>
              </w:rPr>
              <w:t>年薪</w:t>
            </w:r>
          </w:p>
        </w:tc>
        <w:tc>
          <w:tcPr>
            <w:tcW w:w="2276" w:type="dxa"/>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spacing w:line="0" w:lineRule="atLeast"/>
              <w:jc w:val="center"/>
              <w:rPr>
                <w:rFonts w:hint="eastAsia" w:ascii="仿宋" w:hAnsi="仿宋" w:eastAsia="仿宋" w:cs="楷体"/>
                <w:b/>
                <w:color w:val="FFFFFF"/>
                <w:szCs w:val="21"/>
              </w:rPr>
            </w:pPr>
            <w:r>
              <w:rPr>
                <w:rFonts w:hint="eastAsia" w:ascii="仿宋" w:hAnsi="仿宋" w:eastAsia="仿宋" w:cs="楷体"/>
                <w:b/>
                <w:color w:val="FFFFFF"/>
                <w:szCs w:val="21"/>
              </w:rPr>
              <w:t>成本估算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787"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1名项目经理人工成本</w:t>
            </w:r>
          </w:p>
        </w:tc>
        <w:tc>
          <w:tcPr>
            <w:tcW w:w="1243"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w:t>
            </w:r>
          </w:p>
        </w:tc>
        <w:tc>
          <w:tcPr>
            <w:tcW w:w="1336"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ascii="仿宋" w:hAnsi="仿宋" w:eastAsia="仿宋" w:cs="楷体"/>
                <w:bCs/>
                <w:color w:val="000000"/>
                <w:szCs w:val="21"/>
              </w:rPr>
            </w:pPr>
            <w:r>
              <w:rPr>
                <w:rFonts w:hint="eastAsia" w:ascii="仿宋" w:hAnsi="仿宋" w:eastAsia="仿宋" w:cs="楷体"/>
                <w:bCs/>
                <w:color w:val="000000"/>
                <w:szCs w:val="21"/>
              </w:rPr>
              <w:t>15万元</w:t>
            </w:r>
          </w:p>
        </w:tc>
        <w:tc>
          <w:tcPr>
            <w:tcW w:w="2276" w:type="dxa"/>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spacing w:line="0" w:lineRule="atLeast"/>
              <w:jc w:val="center"/>
              <w:rPr>
                <w:rFonts w:hint="eastAsia" w:ascii="仿宋" w:hAnsi="仿宋" w:eastAsia="仿宋" w:cs="楷体"/>
                <w:bCs/>
                <w:color w:val="000000"/>
                <w:szCs w:val="21"/>
              </w:rPr>
            </w:pPr>
            <w:r>
              <w:rPr>
                <w:rFonts w:hint="eastAsia" w:ascii="仿宋" w:hAnsi="仿宋" w:eastAsia="仿宋" w:cs="楷体"/>
                <w:bCs/>
                <w:color w:val="000000"/>
                <w:szCs w:val="21"/>
              </w:rPr>
              <w:t>600元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2787"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
                <w:color w:val="000000"/>
                <w:szCs w:val="21"/>
              </w:rPr>
            </w:pPr>
            <w:r>
              <w:rPr>
                <w:rFonts w:hint="eastAsia" w:ascii="仿宋" w:hAnsi="仿宋" w:eastAsia="仿宋" w:cs="楷体"/>
                <w:b/>
                <w:color w:val="000000"/>
                <w:szCs w:val="21"/>
              </w:rPr>
              <w:t>合计</w:t>
            </w:r>
          </w:p>
        </w:tc>
        <w:tc>
          <w:tcPr>
            <w:tcW w:w="1243"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eastAsia" w:ascii="仿宋" w:hAnsi="仿宋" w:eastAsia="仿宋" w:cs="楷体"/>
                <w:b/>
                <w:color w:val="000000"/>
                <w:szCs w:val="21"/>
              </w:rPr>
            </w:pPr>
          </w:p>
        </w:tc>
        <w:tc>
          <w:tcPr>
            <w:tcW w:w="1336"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hint="eastAsia" w:ascii="仿宋" w:hAnsi="仿宋" w:eastAsia="仿宋" w:cs="楷体"/>
                <w:b/>
                <w:color w:val="000000"/>
                <w:szCs w:val="21"/>
              </w:rPr>
            </w:pPr>
          </w:p>
        </w:tc>
        <w:tc>
          <w:tcPr>
            <w:tcW w:w="2276" w:type="dxa"/>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spacing w:line="0" w:lineRule="atLeast"/>
              <w:jc w:val="center"/>
              <w:rPr>
                <w:rFonts w:ascii="仿宋" w:hAnsi="仿宋" w:eastAsia="仿宋" w:cs="楷体"/>
                <w:b/>
                <w:color w:val="000000"/>
                <w:szCs w:val="21"/>
              </w:rPr>
            </w:pPr>
            <w:r>
              <w:rPr>
                <w:rFonts w:hint="eastAsia" w:ascii="仿宋" w:hAnsi="仿宋" w:eastAsia="仿宋" w:cs="楷体"/>
                <w:b/>
                <w:color w:val="000000"/>
                <w:szCs w:val="21"/>
              </w:rPr>
              <w:t>600元</w:t>
            </w:r>
          </w:p>
        </w:tc>
      </w:tr>
    </w:tbl>
    <w:p>
      <w:pPr>
        <w:spacing w:line="360" w:lineRule="auto"/>
        <w:ind w:firstLine="560" w:firstLineChars="200"/>
        <w:rPr>
          <w:rFonts w:hint="eastAsia" w:ascii="仿宋" w:hAnsi="仿宋" w:eastAsia="仿宋" w:cs="楷体"/>
          <w:bCs/>
          <w:sz w:val="28"/>
          <w:szCs w:val="28"/>
        </w:rPr>
      </w:pPr>
    </w:p>
    <w:p>
      <w:pPr>
        <w:spacing w:line="360" w:lineRule="auto"/>
        <w:ind w:firstLine="560" w:firstLineChars="200"/>
        <w:rPr>
          <w:rFonts w:hint="eastAsia" w:ascii="仿宋" w:hAnsi="仿宋" w:eastAsia="仿宋" w:cs="楷体"/>
          <w:bCs/>
          <w:sz w:val="28"/>
          <w:szCs w:val="28"/>
        </w:rPr>
      </w:pPr>
    </w:p>
    <w:p>
      <w:pPr>
        <w:spacing w:line="360" w:lineRule="auto"/>
        <w:ind w:firstLine="560" w:firstLineChars="200"/>
        <w:rPr>
          <w:rFonts w:hint="eastAsia" w:ascii="仿宋" w:hAnsi="仿宋" w:eastAsia="仿宋" w:cs="楷体"/>
          <w:bCs/>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left"/>
        <w:textAlignment w:val="auto"/>
        <w:rPr>
          <w:rFonts w:hint="eastAsia" w:ascii="仿宋" w:hAnsi="仿宋" w:eastAsia="仿宋" w:cs="楷体"/>
          <w:b/>
          <w:sz w:val="24"/>
        </w:rPr>
      </w:pPr>
      <w:r>
        <w:rPr>
          <w:rFonts w:hint="eastAsia" w:ascii="仿宋" w:hAnsi="仿宋" w:eastAsia="仿宋" w:cs="楷体"/>
          <w:b/>
          <w:sz w:val="24"/>
        </w:rPr>
        <w:t>8、管理费用估算</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ascii="仿宋" w:hAnsi="仿宋" w:eastAsia="仿宋" w:cs="楷体"/>
          <w:bCs/>
          <w:sz w:val="24"/>
        </w:rPr>
      </w:pPr>
      <w:r>
        <w:rPr>
          <w:rFonts w:hint="eastAsia" w:ascii="仿宋" w:hAnsi="仿宋" w:eastAsia="仿宋" w:cs="楷体"/>
          <w:bCs/>
          <w:sz w:val="24"/>
          <w:lang w:val="en-US" w:eastAsia="zh-CN"/>
        </w:rPr>
        <w:t>管理费用主要是指公司持续发展需要配备办公场所费用、员工五险一金费用、员工项目提成费用及公司行政、财务人员等产生的管理费用，管理费用按照上述成本（1-7）的15%计算，则管理费用为18,381元。</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left"/>
        <w:textAlignment w:val="auto"/>
        <w:rPr>
          <w:rFonts w:hint="eastAsia" w:ascii="仿宋" w:hAnsi="仿宋" w:eastAsia="仿宋" w:cs="楷体"/>
          <w:b/>
          <w:sz w:val="24"/>
          <w:lang w:val="en-US" w:eastAsia="zh-CN"/>
        </w:rPr>
      </w:pPr>
      <w:r>
        <w:rPr>
          <w:rFonts w:hint="eastAsia" w:ascii="仿宋" w:hAnsi="仿宋" w:eastAsia="仿宋" w:cs="楷体"/>
          <w:b/>
          <w:sz w:val="24"/>
          <w:lang w:val="en-US" w:eastAsia="zh-CN"/>
        </w:rPr>
        <w:t>9、不可预见费用估算</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楷体"/>
          <w:bCs/>
          <w:sz w:val="24"/>
          <w:lang w:val="en-US" w:eastAsia="zh-CN"/>
        </w:rPr>
      </w:pPr>
      <w:r>
        <w:rPr>
          <w:rFonts w:hint="eastAsia" w:ascii="仿宋" w:hAnsi="仿宋" w:eastAsia="仿宋" w:cs="楷体"/>
          <w:b w:val="0"/>
          <w:bCs/>
          <w:sz w:val="24"/>
          <w:lang w:val="en-US" w:eastAsia="zh-CN"/>
        </w:rPr>
        <w:t>不可预见费用主要为公司在进行</w:t>
      </w:r>
      <w:r>
        <w:rPr>
          <w:rFonts w:hint="eastAsia" w:ascii="仿宋" w:hAnsi="仿宋" w:eastAsia="仿宋" w:cs="楷体"/>
          <w:bCs/>
          <w:sz w:val="24"/>
        </w:rPr>
        <w:t>土地征收社会稳定风险评估</w:t>
      </w:r>
      <w:r>
        <w:rPr>
          <w:rFonts w:hint="eastAsia" w:ascii="仿宋" w:hAnsi="仿宋" w:eastAsia="仿宋" w:cs="楷体"/>
          <w:bCs/>
          <w:sz w:val="24"/>
          <w:lang w:val="en-US" w:eastAsia="zh-CN"/>
        </w:rPr>
        <w:t>时，因不可预见的因素给公司带来的风险导致成本费用的增加，不可预见</w:t>
      </w:r>
      <w:r>
        <w:rPr>
          <w:rFonts w:hint="eastAsia" w:ascii="仿宋" w:hAnsi="仿宋" w:eastAsia="仿宋" w:cs="楷体"/>
          <w:bCs/>
          <w:sz w:val="24"/>
        </w:rPr>
        <w:t>费用按照上述成本（1-7）的5%计算，则</w:t>
      </w:r>
      <w:r>
        <w:rPr>
          <w:rFonts w:hint="eastAsia" w:ascii="仿宋" w:hAnsi="仿宋" w:eastAsia="仿宋" w:cs="楷体"/>
          <w:b w:val="0"/>
          <w:bCs/>
          <w:sz w:val="24"/>
          <w:lang w:val="en-US" w:eastAsia="zh-CN"/>
        </w:rPr>
        <w:t>不可预见费用</w:t>
      </w:r>
      <w:r>
        <w:rPr>
          <w:rFonts w:hint="eastAsia" w:ascii="仿宋" w:hAnsi="仿宋" w:eastAsia="仿宋" w:cs="楷体"/>
          <w:bCs/>
          <w:sz w:val="24"/>
        </w:rPr>
        <w:t>为</w:t>
      </w:r>
      <w:r>
        <w:rPr>
          <w:rFonts w:hint="eastAsia" w:ascii="仿宋" w:hAnsi="仿宋" w:eastAsia="仿宋" w:cs="楷体"/>
          <w:bCs/>
          <w:sz w:val="24"/>
          <w:lang w:val="en-US" w:eastAsia="zh-CN"/>
        </w:rPr>
        <w:t>6</w:t>
      </w:r>
      <w:r>
        <w:rPr>
          <w:rFonts w:hint="eastAsia" w:ascii="仿宋" w:hAnsi="仿宋" w:eastAsia="仿宋" w:cs="楷体"/>
          <w:bCs/>
          <w:sz w:val="24"/>
        </w:rPr>
        <w:t>,</w:t>
      </w:r>
      <w:r>
        <w:rPr>
          <w:rFonts w:hint="eastAsia" w:ascii="仿宋" w:hAnsi="仿宋" w:eastAsia="仿宋" w:cs="楷体"/>
          <w:bCs/>
          <w:sz w:val="24"/>
          <w:lang w:val="en-US" w:eastAsia="zh-CN"/>
        </w:rPr>
        <w:t>127</w:t>
      </w:r>
      <w:r>
        <w:rPr>
          <w:rFonts w:hint="eastAsia" w:ascii="仿宋" w:hAnsi="仿宋" w:eastAsia="仿宋" w:cs="楷体"/>
          <w:bCs/>
          <w:sz w:val="24"/>
        </w:rPr>
        <w:t>元</w:t>
      </w:r>
      <w:r>
        <w:rPr>
          <w:rFonts w:hint="eastAsia" w:ascii="仿宋" w:hAnsi="仿宋" w:eastAsia="仿宋" w:cs="楷体"/>
          <w:bCs/>
          <w:sz w:val="24"/>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left"/>
        <w:textAlignment w:val="auto"/>
        <w:rPr>
          <w:rFonts w:hint="eastAsia" w:ascii="仿宋" w:hAnsi="仿宋" w:eastAsia="仿宋" w:cs="楷体"/>
          <w:b/>
          <w:bCs w:val="0"/>
          <w:sz w:val="24"/>
          <w:lang w:val="en-US" w:eastAsia="zh-CN"/>
        </w:rPr>
      </w:pPr>
      <w:r>
        <w:rPr>
          <w:rFonts w:hint="eastAsia" w:ascii="仿宋" w:hAnsi="仿宋" w:eastAsia="仿宋" w:cs="楷体"/>
          <w:b/>
          <w:bCs w:val="0"/>
          <w:sz w:val="24"/>
          <w:lang w:val="en-US" w:eastAsia="zh-CN"/>
        </w:rPr>
        <w:t>10、企业利润</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default" w:ascii="仿宋" w:hAnsi="仿宋" w:eastAsia="仿宋" w:cs="楷体"/>
          <w:b w:val="0"/>
          <w:bCs/>
          <w:sz w:val="24"/>
          <w:lang w:val="en-US" w:eastAsia="zh-CN"/>
        </w:rPr>
      </w:pPr>
      <w:r>
        <w:rPr>
          <w:rFonts w:hint="eastAsia" w:ascii="仿宋" w:hAnsi="仿宋" w:eastAsia="仿宋" w:cs="楷体"/>
          <w:bCs/>
          <w:sz w:val="24"/>
          <w:szCs w:val="24"/>
          <w:lang w:val="en-US" w:eastAsia="zh-CN"/>
        </w:rPr>
        <w:t>企业长远发展需要的合理利润，企业利润也是</w:t>
      </w:r>
      <w:r>
        <w:rPr>
          <w:rFonts w:hint="eastAsia" w:ascii="仿宋" w:hAnsi="仿宋" w:eastAsia="仿宋" w:cs="楷体"/>
          <w:bCs/>
          <w:i w:val="0"/>
          <w:iCs w:val="0"/>
          <w:caps w:val="0"/>
          <w:color w:val="333333"/>
          <w:spacing w:val="0"/>
          <w:sz w:val="24"/>
          <w:szCs w:val="24"/>
          <w:shd w:val="clear" w:color="auto" w:fill="auto"/>
        </w:rPr>
        <w:t>企业可持续发展的基石</w:t>
      </w:r>
      <w:r>
        <w:rPr>
          <w:rFonts w:hint="eastAsia" w:ascii="仿宋" w:hAnsi="仿宋" w:eastAsia="仿宋" w:cs="楷体"/>
          <w:bCs/>
          <w:i w:val="0"/>
          <w:iCs w:val="0"/>
          <w:caps w:val="0"/>
          <w:spacing w:val="0"/>
          <w:sz w:val="24"/>
          <w:szCs w:val="24"/>
          <w:shd w:val="clear" w:color="auto" w:fill="auto"/>
          <w:lang w:eastAsia="zh-CN"/>
        </w:rPr>
        <w:t>，</w:t>
      </w:r>
      <w:r>
        <w:rPr>
          <w:rFonts w:hint="eastAsia" w:ascii="仿宋" w:hAnsi="仿宋" w:eastAsia="仿宋" w:cs="楷体"/>
          <w:bCs/>
          <w:i w:val="0"/>
          <w:iCs w:val="0"/>
          <w:caps w:val="0"/>
          <w:spacing w:val="0"/>
          <w:sz w:val="24"/>
          <w:szCs w:val="24"/>
          <w:shd w:val="clear" w:color="auto" w:fill="auto"/>
          <w:lang w:val="en-US" w:eastAsia="zh-CN"/>
        </w:rPr>
        <w:t>本次测算按上述成本的5%计算利润，则利润为7,352元。</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left"/>
        <w:textAlignment w:val="auto"/>
        <w:rPr>
          <w:rFonts w:hint="eastAsia" w:ascii="仿宋" w:hAnsi="仿宋" w:eastAsia="仿宋" w:cs="楷体"/>
          <w:b/>
          <w:sz w:val="24"/>
        </w:rPr>
      </w:pPr>
      <w:r>
        <w:rPr>
          <w:rFonts w:hint="eastAsia" w:ascii="仿宋" w:hAnsi="仿宋" w:eastAsia="仿宋" w:cs="楷体"/>
          <w:b/>
          <w:sz w:val="24"/>
          <w:lang w:val="en-US" w:eastAsia="zh-CN"/>
        </w:rPr>
        <w:t>11</w:t>
      </w:r>
      <w:r>
        <w:rPr>
          <w:rFonts w:hint="eastAsia" w:ascii="仿宋" w:hAnsi="仿宋" w:eastAsia="仿宋" w:cs="楷体"/>
          <w:b/>
          <w:sz w:val="24"/>
        </w:rPr>
        <w:t>、税费估算</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楷体"/>
          <w:bCs/>
          <w:sz w:val="24"/>
        </w:rPr>
      </w:pPr>
      <w:r>
        <w:rPr>
          <w:rFonts w:hint="eastAsia" w:ascii="仿宋" w:hAnsi="仿宋" w:eastAsia="仿宋" w:cs="楷体"/>
          <w:bCs/>
          <w:sz w:val="24"/>
        </w:rPr>
        <w:t xml:space="preserve">    税费是指企业合法经营需缴纳的税费，</w:t>
      </w:r>
      <w:r>
        <w:rPr>
          <w:rFonts w:hint="eastAsia" w:ascii="仿宋" w:hAnsi="仿宋" w:eastAsia="仿宋" w:cs="楷体"/>
          <w:bCs/>
          <w:sz w:val="24"/>
          <w:lang w:eastAsia="zh-CN"/>
        </w:rPr>
        <w:t>一般纳税人增值税6%，加上其他相关税费</w:t>
      </w:r>
      <w:r>
        <w:rPr>
          <w:rFonts w:hint="eastAsia" w:ascii="仿宋" w:hAnsi="仿宋" w:eastAsia="仿宋" w:cs="楷体"/>
          <w:bCs/>
          <w:sz w:val="24"/>
        </w:rPr>
        <w:t>，一般纳税人实际发生税率8%-9%，按8.5%计算出企业税费为1</w:t>
      </w:r>
      <w:r>
        <w:rPr>
          <w:rFonts w:hint="eastAsia" w:ascii="仿宋" w:hAnsi="仿宋" w:eastAsia="仿宋" w:cs="楷体"/>
          <w:bCs/>
          <w:sz w:val="24"/>
          <w:lang w:val="en-US" w:eastAsia="zh-CN"/>
        </w:rPr>
        <w:t>2</w:t>
      </w:r>
      <w:r>
        <w:rPr>
          <w:rFonts w:hint="eastAsia" w:ascii="仿宋" w:hAnsi="仿宋" w:eastAsia="仿宋" w:cs="楷体"/>
          <w:bCs/>
          <w:sz w:val="24"/>
        </w:rPr>
        <w:t>,</w:t>
      </w:r>
      <w:r>
        <w:rPr>
          <w:rFonts w:hint="eastAsia" w:ascii="仿宋" w:hAnsi="仿宋" w:eastAsia="仿宋" w:cs="楷体"/>
          <w:bCs/>
          <w:sz w:val="24"/>
          <w:lang w:val="en-US" w:eastAsia="zh-CN"/>
        </w:rPr>
        <w:t>278</w:t>
      </w:r>
      <w:r>
        <w:rPr>
          <w:rFonts w:hint="eastAsia" w:ascii="仿宋" w:hAnsi="仿宋" w:eastAsia="仿宋" w:cs="楷体"/>
          <w:bCs/>
          <w:sz w:val="24"/>
        </w:rPr>
        <w:t>元。</w:t>
      </w:r>
    </w:p>
    <w:p>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left"/>
        <w:textAlignment w:val="auto"/>
        <w:rPr>
          <w:rFonts w:hint="eastAsia" w:ascii="仿宋" w:hAnsi="仿宋" w:eastAsia="仿宋" w:cs="楷体"/>
          <w:b/>
          <w:sz w:val="24"/>
        </w:rPr>
      </w:pPr>
      <w:r>
        <w:rPr>
          <w:rFonts w:hint="eastAsia" w:ascii="仿宋" w:hAnsi="仿宋" w:eastAsia="仿宋" w:cs="楷体"/>
          <w:b/>
          <w:sz w:val="24"/>
          <w:lang w:val="en-US" w:eastAsia="zh-CN"/>
        </w:rPr>
        <w:t>12</w:t>
      </w:r>
      <w:r>
        <w:rPr>
          <w:rFonts w:hint="eastAsia" w:ascii="仿宋" w:hAnsi="仿宋" w:eastAsia="仿宋" w:cs="楷体"/>
          <w:b/>
          <w:sz w:val="24"/>
        </w:rPr>
        <w:t>、成本估算汇总</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楷体"/>
          <w:bCs/>
          <w:sz w:val="24"/>
        </w:rPr>
      </w:pPr>
      <w:r>
        <w:rPr>
          <w:rFonts w:hint="eastAsia" w:ascii="仿宋" w:hAnsi="仿宋" w:eastAsia="仿宋" w:cs="楷体"/>
          <w:bCs/>
          <w:sz w:val="24"/>
        </w:rPr>
        <w:t>综上所述，以500亩项目为例，土地征收社会稳定风险评估服务成本汇总如下表：</w:t>
      </w:r>
    </w:p>
    <w:p>
      <w:pPr>
        <w:pStyle w:val="14"/>
        <w:tabs>
          <w:tab w:val="left" w:pos="1074"/>
        </w:tabs>
        <w:spacing w:line="360" w:lineRule="auto"/>
        <w:ind w:left="0" w:firstLine="480" w:firstLineChars="200"/>
        <w:rPr>
          <w:rFonts w:hint="eastAsia" w:cs="楷体"/>
          <w:bCs/>
          <w:sz w:val="24"/>
          <w:lang w:val="en-US" w:bidi="ar-SA"/>
        </w:rPr>
        <w:sectPr>
          <w:headerReference r:id="rId4" w:type="first"/>
          <w:footerReference r:id="rId5" w:type="default"/>
          <w:headerReference r:id="rId3" w:type="even"/>
          <w:pgSz w:w="11910" w:h="16840"/>
          <w:pgMar w:top="1500" w:right="1260" w:bottom="1180" w:left="1420" w:header="0" w:footer="993" w:gutter="0"/>
          <w:pgNumType w:start="1"/>
          <w:cols w:space="720" w:num="1"/>
        </w:sectPr>
      </w:pPr>
    </w:p>
    <w:p>
      <w:pPr>
        <w:spacing w:line="360" w:lineRule="auto"/>
        <w:ind w:left="640"/>
        <w:jc w:val="center"/>
        <w:rPr>
          <w:rFonts w:hint="eastAsia" w:ascii="仿宋" w:hAnsi="仿宋" w:eastAsia="仿宋" w:cs="仿宋"/>
          <w:color w:val="000000"/>
          <w:sz w:val="24"/>
          <w:szCs w:val="24"/>
          <w:lang w:eastAsia="zh-CN"/>
        </w:rPr>
      </w:pPr>
      <w:r>
        <w:rPr>
          <w:rFonts w:hint="eastAsia" w:ascii="仿宋" w:hAnsi="仿宋" w:eastAsia="仿宋" w:cs="仿宋"/>
          <w:b/>
          <w:color w:val="000000"/>
          <w:sz w:val="30"/>
          <w:szCs w:val="30"/>
        </w:rPr>
        <w:t xml:space="preserve"> </w:t>
      </w:r>
      <w:r>
        <w:rPr>
          <w:rFonts w:ascii="仿宋" w:hAnsi="仿宋" w:eastAsia="仿宋" w:cs="仿宋"/>
          <w:b/>
          <w:color w:val="000000"/>
          <w:sz w:val="30"/>
          <w:szCs w:val="30"/>
        </w:rPr>
        <w:t xml:space="preserve">             </w:t>
      </w:r>
      <w:r>
        <w:rPr>
          <w:rFonts w:ascii="仿宋" w:hAnsi="仿宋" w:eastAsia="仿宋" w:cs="仿宋"/>
          <w:b/>
          <w:color w:val="000000"/>
          <w:sz w:val="24"/>
          <w:szCs w:val="24"/>
        </w:rPr>
        <w:t xml:space="preserve">   </w:t>
      </w:r>
      <w:r>
        <w:rPr>
          <w:rFonts w:hint="eastAsia" w:ascii="仿宋" w:hAnsi="仿宋" w:eastAsia="仿宋" w:cs="仿宋"/>
          <w:b/>
          <w:color w:val="000000"/>
          <w:sz w:val="24"/>
          <w:szCs w:val="24"/>
        </w:rPr>
        <w:t xml:space="preserve">土地征收社会稳定风险评估服务成本构成表 </w:t>
      </w:r>
      <w:r>
        <w:rPr>
          <w:rFonts w:ascii="仿宋" w:hAnsi="仿宋" w:eastAsia="仿宋" w:cs="仿宋"/>
          <w:b/>
          <w:color w:val="000000"/>
          <w:sz w:val="24"/>
          <w:szCs w:val="24"/>
        </w:rPr>
        <w:t xml:space="preserve">                    </w:t>
      </w:r>
      <w:r>
        <w:rPr>
          <w:rFonts w:hint="eastAsia" w:ascii="仿宋" w:hAnsi="仿宋" w:eastAsia="仿宋" w:cs="仿宋"/>
          <w:color w:val="000000"/>
          <w:sz w:val="24"/>
          <w:szCs w:val="24"/>
        </w:rPr>
        <w:t>表</w:t>
      </w:r>
      <w:r>
        <w:rPr>
          <w:rFonts w:hint="eastAsia" w:ascii="仿宋" w:hAnsi="仿宋" w:eastAsia="仿宋" w:cs="仿宋"/>
          <w:color w:val="000000"/>
          <w:sz w:val="24"/>
          <w:szCs w:val="24"/>
          <w:lang w:val="en-US" w:eastAsia="zh-CN"/>
        </w:rPr>
        <w:t>9</w:t>
      </w:r>
    </w:p>
    <w:tbl>
      <w:tblPr>
        <w:tblStyle w:val="5"/>
        <w:tblW w:w="5042" w:type="pct"/>
        <w:tblInd w:w="126"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560"/>
        <w:gridCol w:w="1058"/>
        <w:gridCol w:w="5563"/>
        <w:gridCol w:w="1984"/>
        <w:gridCol w:w="986"/>
        <w:gridCol w:w="738"/>
        <w:gridCol w:w="1918"/>
        <w:gridCol w:w="1486"/>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96" w:type="pct"/>
            <w:vMerge w:val="restart"/>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widowControl/>
              <w:spacing w:line="0" w:lineRule="atLeast"/>
              <w:jc w:val="center"/>
              <w:textAlignment w:val="center"/>
              <w:rPr>
                <w:rFonts w:hint="eastAsia" w:ascii="仿宋" w:hAnsi="仿宋" w:eastAsia="仿宋" w:cs="仿宋"/>
                <w:b/>
                <w:bCs/>
                <w:color w:val="FFFFFF"/>
                <w:sz w:val="15"/>
                <w:szCs w:val="15"/>
              </w:rPr>
            </w:pPr>
            <w:r>
              <w:rPr>
                <w:rFonts w:hint="eastAsia" w:ascii="仿宋" w:hAnsi="仿宋" w:eastAsia="仿宋" w:cs="仿宋"/>
                <w:b/>
                <w:bCs/>
                <w:color w:val="FFFFFF"/>
                <w:kern w:val="0"/>
                <w:sz w:val="15"/>
                <w:szCs w:val="15"/>
                <w:lang w:bidi="ar"/>
              </w:rPr>
              <w:t>序号</w:t>
            </w:r>
          </w:p>
        </w:tc>
        <w:tc>
          <w:tcPr>
            <w:tcW w:w="370" w:type="pct"/>
            <w:vMerge w:val="restart"/>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widowControl/>
              <w:spacing w:line="0" w:lineRule="atLeast"/>
              <w:jc w:val="center"/>
              <w:textAlignment w:val="center"/>
              <w:rPr>
                <w:rFonts w:hint="eastAsia" w:ascii="仿宋" w:hAnsi="仿宋" w:eastAsia="仿宋" w:cs="仿宋"/>
                <w:b/>
                <w:bCs/>
                <w:color w:val="FFFFFF"/>
                <w:sz w:val="15"/>
                <w:szCs w:val="15"/>
              </w:rPr>
            </w:pPr>
            <w:r>
              <w:rPr>
                <w:rFonts w:hint="eastAsia" w:ascii="仿宋" w:hAnsi="仿宋" w:eastAsia="仿宋" w:cs="仿宋"/>
                <w:b/>
                <w:bCs/>
                <w:color w:val="FFFFFF"/>
                <w:kern w:val="0"/>
                <w:sz w:val="15"/>
                <w:szCs w:val="15"/>
                <w:lang w:bidi="ar"/>
              </w:rPr>
              <w:t>工作程序</w:t>
            </w:r>
          </w:p>
        </w:tc>
        <w:tc>
          <w:tcPr>
            <w:tcW w:w="1946" w:type="pct"/>
            <w:vMerge w:val="restart"/>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widowControl/>
              <w:spacing w:line="0" w:lineRule="atLeast"/>
              <w:jc w:val="center"/>
              <w:textAlignment w:val="center"/>
              <w:rPr>
                <w:rFonts w:hint="eastAsia" w:ascii="仿宋" w:hAnsi="仿宋" w:eastAsia="仿宋" w:cs="仿宋"/>
                <w:b/>
                <w:bCs/>
                <w:color w:val="FFFFFF"/>
                <w:sz w:val="15"/>
                <w:szCs w:val="15"/>
              </w:rPr>
            </w:pPr>
            <w:r>
              <w:rPr>
                <w:rFonts w:hint="eastAsia" w:ascii="仿宋" w:hAnsi="仿宋" w:eastAsia="仿宋" w:cs="仿宋"/>
                <w:b/>
                <w:bCs/>
                <w:color w:val="FFFFFF"/>
                <w:kern w:val="0"/>
                <w:sz w:val="15"/>
                <w:szCs w:val="15"/>
                <w:lang w:bidi="ar"/>
              </w:rPr>
              <w:t>主要工作内容</w:t>
            </w:r>
          </w:p>
        </w:tc>
        <w:tc>
          <w:tcPr>
            <w:tcW w:w="694" w:type="pct"/>
            <w:vMerge w:val="restart"/>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widowControl/>
              <w:spacing w:line="0" w:lineRule="atLeast"/>
              <w:jc w:val="center"/>
              <w:textAlignment w:val="center"/>
              <w:rPr>
                <w:rFonts w:hint="eastAsia" w:ascii="仿宋" w:hAnsi="仿宋" w:eastAsia="仿宋" w:cs="仿宋"/>
                <w:b/>
                <w:bCs/>
                <w:color w:val="FFFFFF"/>
                <w:sz w:val="15"/>
                <w:szCs w:val="15"/>
              </w:rPr>
            </w:pPr>
            <w:r>
              <w:rPr>
                <w:rFonts w:hint="eastAsia" w:ascii="仿宋" w:hAnsi="仿宋" w:eastAsia="仿宋" w:cs="仿宋"/>
                <w:b/>
                <w:bCs/>
                <w:color w:val="FFFFFF"/>
                <w:kern w:val="0"/>
                <w:sz w:val="15"/>
                <w:szCs w:val="15"/>
                <w:lang w:bidi="ar"/>
              </w:rPr>
              <w:t>成本类型</w:t>
            </w:r>
          </w:p>
        </w:tc>
        <w:tc>
          <w:tcPr>
            <w:tcW w:w="345" w:type="pct"/>
            <w:vMerge w:val="restart"/>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widowControl/>
              <w:spacing w:line="0" w:lineRule="atLeast"/>
              <w:jc w:val="center"/>
              <w:textAlignment w:val="center"/>
              <w:rPr>
                <w:rFonts w:hint="eastAsia" w:ascii="仿宋" w:hAnsi="仿宋" w:eastAsia="仿宋" w:cs="仿宋"/>
                <w:b/>
                <w:bCs/>
                <w:color w:val="FFFFFF"/>
                <w:sz w:val="15"/>
                <w:szCs w:val="15"/>
              </w:rPr>
            </w:pPr>
            <w:r>
              <w:rPr>
                <w:rFonts w:hint="eastAsia" w:ascii="仿宋" w:hAnsi="仿宋" w:eastAsia="仿宋" w:cs="仿宋"/>
                <w:b/>
                <w:bCs/>
                <w:color w:val="FFFFFF"/>
                <w:kern w:val="0"/>
                <w:sz w:val="15"/>
                <w:szCs w:val="15"/>
                <w:lang w:bidi="ar"/>
              </w:rPr>
              <w:t>成本金额（元）</w:t>
            </w:r>
          </w:p>
        </w:tc>
        <w:tc>
          <w:tcPr>
            <w:tcW w:w="258" w:type="pct"/>
            <w:vMerge w:val="restart"/>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widowControl/>
              <w:spacing w:line="0" w:lineRule="atLeast"/>
              <w:jc w:val="center"/>
              <w:textAlignment w:val="center"/>
              <w:rPr>
                <w:rFonts w:hint="eastAsia" w:ascii="仿宋" w:hAnsi="仿宋" w:eastAsia="仿宋" w:cs="仿宋"/>
                <w:b/>
                <w:bCs/>
                <w:color w:val="FFFFFF"/>
                <w:sz w:val="15"/>
                <w:szCs w:val="15"/>
              </w:rPr>
            </w:pPr>
            <w:r>
              <w:rPr>
                <w:rFonts w:hint="eastAsia" w:ascii="仿宋" w:hAnsi="仿宋" w:eastAsia="仿宋" w:cs="仿宋"/>
                <w:b/>
                <w:bCs/>
                <w:color w:val="FFFFFF"/>
                <w:kern w:val="0"/>
                <w:sz w:val="15"/>
                <w:szCs w:val="15"/>
                <w:lang w:bidi="ar"/>
              </w:rPr>
              <w:t>工作日</w:t>
            </w:r>
          </w:p>
        </w:tc>
        <w:tc>
          <w:tcPr>
            <w:tcW w:w="671" w:type="pct"/>
            <w:vMerge w:val="restart"/>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widowControl/>
              <w:spacing w:line="0" w:lineRule="atLeast"/>
              <w:jc w:val="center"/>
              <w:textAlignment w:val="center"/>
              <w:rPr>
                <w:rFonts w:hint="default" w:ascii="仿宋" w:hAnsi="仿宋" w:eastAsia="仿宋" w:cs="仿宋"/>
                <w:b/>
                <w:bCs/>
                <w:color w:val="FFFFFF"/>
                <w:sz w:val="15"/>
                <w:szCs w:val="15"/>
              </w:rPr>
            </w:pPr>
            <w:r>
              <w:rPr>
                <w:rFonts w:hint="eastAsia" w:ascii="仿宋" w:hAnsi="仿宋" w:eastAsia="仿宋" w:cs="仿宋"/>
                <w:b/>
                <w:bCs/>
                <w:color w:val="FFFFFF"/>
                <w:kern w:val="0"/>
                <w:sz w:val="15"/>
                <w:szCs w:val="15"/>
                <w:lang w:val="en-US" w:eastAsia="zh-CN" w:bidi="ar"/>
              </w:rPr>
              <w:t>成本单价</w:t>
            </w:r>
          </w:p>
        </w:tc>
        <w:tc>
          <w:tcPr>
            <w:tcW w:w="516" w:type="pct"/>
            <w:vMerge w:val="restart"/>
            <w:tcBorders>
              <w:top w:val="single" w:color="4BACC6" w:sz="8" w:space="0"/>
              <w:left w:val="single" w:color="4BACC6" w:sz="8" w:space="0"/>
              <w:bottom w:val="single" w:color="FFFFFF" w:sz="18" w:space="0"/>
              <w:right w:val="single" w:color="4BACC6" w:sz="8" w:space="0"/>
            </w:tcBorders>
            <w:shd w:val="clear" w:color="auto" w:fill="4BACC6"/>
            <w:noWrap w:val="0"/>
            <w:vAlign w:val="center"/>
          </w:tcPr>
          <w:p>
            <w:pPr>
              <w:widowControl/>
              <w:spacing w:line="0" w:lineRule="atLeast"/>
              <w:jc w:val="center"/>
              <w:textAlignment w:val="center"/>
              <w:rPr>
                <w:rFonts w:hint="default" w:ascii="仿宋" w:hAnsi="仿宋" w:eastAsia="仿宋" w:cs="仿宋"/>
                <w:b/>
                <w:bCs/>
                <w:color w:val="FFFFFF"/>
                <w:sz w:val="15"/>
                <w:szCs w:val="15"/>
              </w:rPr>
            </w:pPr>
            <w:r>
              <w:rPr>
                <w:rFonts w:hint="eastAsia" w:ascii="仿宋" w:hAnsi="仿宋" w:eastAsia="仿宋" w:cs="仿宋"/>
                <w:b/>
                <w:bCs/>
                <w:color w:val="FFFFFF"/>
                <w:kern w:val="0"/>
                <w:sz w:val="15"/>
                <w:szCs w:val="15"/>
                <w:lang w:val="en-US" w:eastAsia="zh-CN" w:bidi="ar"/>
              </w:rPr>
              <w:t>工作人员</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312" w:hRule="atLeast"/>
        </w:trPr>
        <w:tc>
          <w:tcPr>
            <w:tcW w:w="196" w:type="pct"/>
            <w:vMerge w:val="continue"/>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b/>
                <w:bCs/>
                <w:color w:val="000000"/>
                <w:sz w:val="15"/>
                <w:szCs w:val="15"/>
              </w:rPr>
            </w:pPr>
          </w:p>
        </w:tc>
        <w:tc>
          <w:tcPr>
            <w:tcW w:w="370" w:type="pct"/>
            <w:vMerge w:val="continue"/>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b/>
                <w:bCs/>
                <w:color w:val="000000"/>
                <w:sz w:val="15"/>
                <w:szCs w:val="15"/>
              </w:rPr>
            </w:pPr>
          </w:p>
        </w:tc>
        <w:tc>
          <w:tcPr>
            <w:tcW w:w="1946" w:type="pct"/>
            <w:vMerge w:val="continue"/>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b/>
                <w:bCs/>
                <w:color w:val="000000"/>
                <w:sz w:val="15"/>
                <w:szCs w:val="15"/>
              </w:rPr>
            </w:pPr>
          </w:p>
        </w:tc>
        <w:tc>
          <w:tcPr>
            <w:tcW w:w="694" w:type="pct"/>
            <w:vMerge w:val="continue"/>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b/>
                <w:bCs/>
                <w:color w:val="000000"/>
                <w:sz w:val="15"/>
                <w:szCs w:val="15"/>
              </w:rPr>
            </w:pPr>
          </w:p>
        </w:tc>
        <w:tc>
          <w:tcPr>
            <w:tcW w:w="345" w:type="pct"/>
            <w:vMerge w:val="continue"/>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b/>
                <w:bCs/>
                <w:color w:val="000000"/>
                <w:sz w:val="15"/>
                <w:szCs w:val="15"/>
              </w:rPr>
            </w:pPr>
          </w:p>
        </w:tc>
        <w:tc>
          <w:tcPr>
            <w:tcW w:w="258" w:type="pct"/>
            <w:vMerge w:val="continue"/>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color w:val="000000"/>
                <w:sz w:val="15"/>
                <w:szCs w:val="15"/>
              </w:rPr>
            </w:pPr>
          </w:p>
        </w:tc>
        <w:tc>
          <w:tcPr>
            <w:tcW w:w="671" w:type="pct"/>
            <w:vMerge w:val="continue"/>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color w:val="000000"/>
                <w:sz w:val="15"/>
                <w:szCs w:val="15"/>
              </w:rPr>
            </w:pPr>
          </w:p>
        </w:tc>
        <w:tc>
          <w:tcPr>
            <w:tcW w:w="516" w:type="pct"/>
            <w:vMerge w:val="continue"/>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color w:val="000000"/>
                <w:sz w:val="15"/>
                <w:szCs w:val="15"/>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6" w:type="pct"/>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1</w:t>
            </w:r>
          </w:p>
        </w:tc>
        <w:tc>
          <w:tcPr>
            <w:tcW w:w="370" w:type="pct"/>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制定评估工作方案</w:t>
            </w:r>
          </w:p>
        </w:tc>
        <w:tc>
          <w:tcPr>
            <w:tcW w:w="1946" w:type="pct"/>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明确评估目的、评估对象与内容、评估标准、评估步骤与方法，时间安排等。</w:t>
            </w:r>
          </w:p>
        </w:tc>
        <w:tc>
          <w:tcPr>
            <w:tcW w:w="694" w:type="pct"/>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人工成本</w:t>
            </w:r>
          </w:p>
        </w:tc>
        <w:tc>
          <w:tcPr>
            <w:tcW w:w="345" w:type="pct"/>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2,000</w:t>
            </w:r>
          </w:p>
        </w:tc>
        <w:tc>
          <w:tcPr>
            <w:tcW w:w="258" w:type="pct"/>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2</w:t>
            </w:r>
          </w:p>
        </w:tc>
        <w:tc>
          <w:tcPr>
            <w:tcW w:w="671" w:type="pct"/>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default" w:ascii="仿宋" w:hAnsi="仿宋" w:eastAsia="仿宋" w:cs="仿宋"/>
                <w:color w:val="000000"/>
                <w:sz w:val="15"/>
                <w:szCs w:val="15"/>
              </w:rPr>
            </w:pPr>
            <w:r>
              <w:rPr>
                <w:rFonts w:hint="eastAsia" w:ascii="仿宋" w:hAnsi="仿宋" w:eastAsia="仿宋" w:cs="仿宋"/>
                <w:color w:val="000000"/>
                <w:kern w:val="0"/>
                <w:sz w:val="15"/>
                <w:szCs w:val="15"/>
                <w:lang w:val="en-US" w:eastAsia="zh-CN" w:bidi="ar"/>
              </w:rPr>
              <w:t>项目经理600元/日、土地估价师400元/日</w:t>
            </w:r>
          </w:p>
        </w:tc>
        <w:tc>
          <w:tcPr>
            <w:tcW w:w="516" w:type="pct"/>
            <w:tcBorders>
              <w:top w:val="single" w:color="FFFFFF" w:sz="1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val="en-US" w:eastAsia="zh-CN" w:bidi="ar"/>
              </w:rPr>
              <w:t>1名</w:t>
            </w:r>
            <w:r>
              <w:rPr>
                <w:rFonts w:hint="eastAsia" w:ascii="仿宋" w:hAnsi="仿宋" w:eastAsia="仿宋" w:cs="仿宋"/>
                <w:color w:val="000000"/>
                <w:kern w:val="0"/>
                <w:sz w:val="15"/>
                <w:szCs w:val="15"/>
                <w:lang w:bidi="ar"/>
              </w:rPr>
              <w:t>项目经理及</w:t>
            </w:r>
            <w:r>
              <w:rPr>
                <w:rFonts w:hint="eastAsia" w:ascii="仿宋" w:hAnsi="仿宋" w:eastAsia="仿宋" w:cs="仿宋"/>
                <w:color w:val="000000"/>
                <w:kern w:val="0"/>
                <w:sz w:val="15"/>
                <w:szCs w:val="15"/>
                <w:lang w:val="en-US" w:eastAsia="zh-CN" w:bidi="ar"/>
              </w:rPr>
              <w:t>1名</w:t>
            </w:r>
            <w:r>
              <w:rPr>
                <w:rFonts w:hint="eastAsia" w:ascii="仿宋" w:hAnsi="仿宋" w:eastAsia="仿宋" w:cs="仿宋"/>
                <w:color w:val="000000"/>
                <w:kern w:val="0"/>
                <w:sz w:val="15"/>
                <w:szCs w:val="15"/>
                <w:lang w:bidi="ar"/>
              </w:rPr>
              <w:t>土地估价师</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6"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2</w:t>
            </w:r>
          </w:p>
        </w:tc>
        <w:tc>
          <w:tcPr>
            <w:tcW w:w="370"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进行评估申报</w:t>
            </w:r>
          </w:p>
        </w:tc>
        <w:tc>
          <w:tcPr>
            <w:tcW w:w="1946"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向政法委提交《江西省重大决策社会稳定风险评估申报表》，接受工作指导。</w:t>
            </w:r>
          </w:p>
        </w:tc>
        <w:tc>
          <w:tcPr>
            <w:tcW w:w="694"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人工成本</w:t>
            </w:r>
          </w:p>
        </w:tc>
        <w:tc>
          <w:tcPr>
            <w:tcW w:w="345"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600</w:t>
            </w:r>
          </w:p>
        </w:tc>
        <w:tc>
          <w:tcPr>
            <w:tcW w:w="258"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1</w:t>
            </w:r>
          </w:p>
        </w:tc>
        <w:tc>
          <w:tcPr>
            <w:tcW w:w="671"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val="en-US" w:eastAsia="zh-CN" w:bidi="ar"/>
              </w:rPr>
              <w:t>项目经理600元/日</w:t>
            </w:r>
          </w:p>
        </w:tc>
        <w:tc>
          <w:tcPr>
            <w:tcW w:w="516"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val="en-US" w:eastAsia="zh-CN" w:bidi="ar"/>
              </w:rPr>
              <w:t>1名</w:t>
            </w:r>
            <w:r>
              <w:rPr>
                <w:rFonts w:hint="eastAsia" w:ascii="仿宋" w:hAnsi="仿宋" w:eastAsia="仿宋" w:cs="仿宋"/>
                <w:color w:val="000000"/>
                <w:kern w:val="0"/>
                <w:sz w:val="15"/>
                <w:szCs w:val="15"/>
                <w:lang w:bidi="ar"/>
              </w:rPr>
              <w:t>项目经理</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6" w:type="pct"/>
            <w:vMerge w:val="restar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3</w:t>
            </w:r>
          </w:p>
        </w:tc>
        <w:tc>
          <w:tcPr>
            <w:tcW w:w="370" w:type="pct"/>
            <w:vMerge w:val="restar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开展民意调查</w:t>
            </w:r>
          </w:p>
        </w:tc>
        <w:tc>
          <w:tcPr>
            <w:tcW w:w="1946" w:type="pct"/>
            <w:vMerge w:val="restar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根据拟定的评估方案，采取现场和网上公示、舆情调查、问卷调查、走访和召开座谈会等方式，听取利益相关方和社会公众的意见和建议。</w:t>
            </w:r>
          </w:p>
        </w:tc>
        <w:tc>
          <w:tcPr>
            <w:tcW w:w="694"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人工成本</w:t>
            </w:r>
          </w:p>
        </w:tc>
        <w:tc>
          <w:tcPr>
            <w:tcW w:w="345"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32,400</w:t>
            </w:r>
          </w:p>
        </w:tc>
        <w:tc>
          <w:tcPr>
            <w:tcW w:w="258"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10</w:t>
            </w:r>
          </w:p>
        </w:tc>
        <w:tc>
          <w:tcPr>
            <w:tcW w:w="671"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default" w:ascii="仿宋" w:hAnsi="仿宋" w:eastAsia="仿宋" w:cs="仿宋"/>
                <w:color w:val="000000"/>
                <w:sz w:val="15"/>
                <w:szCs w:val="15"/>
              </w:rPr>
            </w:pPr>
            <w:r>
              <w:rPr>
                <w:rFonts w:hint="eastAsia" w:ascii="仿宋" w:hAnsi="仿宋" w:eastAsia="仿宋" w:cs="仿宋"/>
                <w:color w:val="000000"/>
                <w:kern w:val="0"/>
                <w:sz w:val="15"/>
                <w:szCs w:val="15"/>
                <w:lang w:val="en-US" w:eastAsia="zh-CN" w:bidi="ar"/>
              </w:rPr>
              <w:t>项目经理600元/日、土地估价师400元/日</w:t>
            </w:r>
            <w:r>
              <w:rPr>
                <w:rFonts w:hint="eastAsia" w:ascii="仿宋" w:hAnsi="仿宋" w:eastAsia="仿宋" w:cs="仿宋"/>
                <w:color w:val="000000"/>
                <w:kern w:val="0"/>
                <w:sz w:val="15"/>
                <w:szCs w:val="15"/>
                <w:lang w:eastAsia="zh-CN" w:bidi="ar"/>
              </w:rPr>
              <w:t>、</w:t>
            </w:r>
            <w:r>
              <w:rPr>
                <w:rFonts w:hint="eastAsia" w:ascii="仿宋" w:hAnsi="仿宋" w:eastAsia="仿宋" w:cs="仿宋"/>
                <w:color w:val="000000"/>
                <w:kern w:val="0"/>
                <w:sz w:val="15"/>
                <w:szCs w:val="15"/>
                <w:lang w:val="en-US" w:eastAsia="zh-CN" w:bidi="ar"/>
              </w:rPr>
              <w:t>估价师助理240元/日</w:t>
            </w:r>
          </w:p>
        </w:tc>
        <w:tc>
          <w:tcPr>
            <w:tcW w:w="516" w:type="pct"/>
            <w:vMerge w:val="restar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1</w:t>
            </w:r>
            <w:r>
              <w:rPr>
                <w:rFonts w:hint="eastAsia" w:ascii="仿宋" w:hAnsi="仿宋" w:eastAsia="仿宋" w:cs="仿宋"/>
                <w:color w:val="000000"/>
                <w:kern w:val="0"/>
                <w:sz w:val="15"/>
                <w:szCs w:val="15"/>
                <w:lang w:val="en-US" w:eastAsia="zh-CN" w:bidi="ar"/>
              </w:rPr>
              <w:t>名</w:t>
            </w:r>
            <w:r>
              <w:rPr>
                <w:rFonts w:hint="eastAsia" w:ascii="仿宋" w:hAnsi="仿宋" w:eastAsia="仿宋" w:cs="仿宋"/>
                <w:color w:val="000000"/>
                <w:kern w:val="0"/>
                <w:sz w:val="15"/>
                <w:szCs w:val="15"/>
                <w:lang w:bidi="ar"/>
              </w:rPr>
              <w:t>项目经理、3</w:t>
            </w:r>
            <w:r>
              <w:rPr>
                <w:rFonts w:hint="eastAsia" w:ascii="仿宋" w:hAnsi="仿宋" w:eastAsia="仿宋" w:cs="仿宋"/>
                <w:color w:val="000000"/>
                <w:kern w:val="0"/>
                <w:sz w:val="15"/>
                <w:szCs w:val="15"/>
                <w:lang w:val="en-US" w:eastAsia="zh-CN" w:bidi="ar"/>
              </w:rPr>
              <w:t>名</w:t>
            </w:r>
            <w:r>
              <w:rPr>
                <w:rFonts w:hint="eastAsia" w:ascii="仿宋" w:hAnsi="仿宋" w:eastAsia="仿宋" w:cs="仿宋"/>
                <w:color w:val="000000"/>
                <w:kern w:val="0"/>
                <w:sz w:val="15"/>
                <w:szCs w:val="15"/>
                <w:lang w:bidi="ar"/>
              </w:rPr>
              <w:t>土地估价师、6</w:t>
            </w:r>
            <w:r>
              <w:rPr>
                <w:rFonts w:hint="eastAsia" w:ascii="仿宋" w:hAnsi="仿宋" w:eastAsia="仿宋" w:cs="仿宋"/>
                <w:color w:val="000000"/>
                <w:kern w:val="0"/>
                <w:sz w:val="15"/>
                <w:szCs w:val="15"/>
                <w:lang w:val="en-US" w:eastAsia="zh-CN" w:bidi="ar"/>
              </w:rPr>
              <w:t>名</w:t>
            </w:r>
            <w:r>
              <w:rPr>
                <w:rFonts w:hint="eastAsia" w:ascii="仿宋" w:hAnsi="仿宋" w:eastAsia="仿宋" w:cs="仿宋"/>
                <w:color w:val="000000"/>
                <w:kern w:val="0"/>
                <w:sz w:val="15"/>
                <w:szCs w:val="15"/>
                <w:lang w:bidi="ar"/>
              </w:rPr>
              <w:t>估价师助理</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96" w:type="pct"/>
            <w:vMerge w:val="continue"/>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370" w:type="pct"/>
            <w:vMerge w:val="continue"/>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1946" w:type="pct"/>
            <w:vMerge w:val="continue"/>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694"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交通费、住宿费、餐费</w:t>
            </w:r>
          </w:p>
        </w:tc>
        <w:tc>
          <w:tcPr>
            <w:tcW w:w="345"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35,000</w:t>
            </w:r>
          </w:p>
        </w:tc>
        <w:tc>
          <w:tcPr>
            <w:tcW w:w="258"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10</w:t>
            </w:r>
          </w:p>
        </w:tc>
        <w:tc>
          <w:tcPr>
            <w:tcW w:w="671"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350每天每人</w:t>
            </w:r>
          </w:p>
        </w:tc>
        <w:tc>
          <w:tcPr>
            <w:tcW w:w="516" w:type="pct"/>
            <w:vMerge w:val="continue"/>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6" w:type="pct"/>
            <w:vMerge w:val="continue"/>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color w:val="000000"/>
                <w:sz w:val="15"/>
                <w:szCs w:val="15"/>
              </w:rPr>
            </w:pPr>
          </w:p>
        </w:tc>
        <w:tc>
          <w:tcPr>
            <w:tcW w:w="370" w:type="pct"/>
            <w:vMerge w:val="continue"/>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color w:val="000000"/>
                <w:sz w:val="15"/>
                <w:szCs w:val="15"/>
              </w:rPr>
            </w:pPr>
          </w:p>
        </w:tc>
        <w:tc>
          <w:tcPr>
            <w:tcW w:w="1946" w:type="pct"/>
            <w:vMerge w:val="continue"/>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color w:val="000000"/>
                <w:sz w:val="15"/>
                <w:szCs w:val="15"/>
              </w:rPr>
            </w:pPr>
          </w:p>
        </w:tc>
        <w:tc>
          <w:tcPr>
            <w:tcW w:w="694"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问卷调查费用</w:t>
            </w:r>
          </w:p>
        </w:tc>
        <w:tc>
          <w:tcPr>
            <w:tcW w:w="345"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1,000</w:t>
            </w:r>
          </w:p>
        </w:tc>
        <w:tc>
          <w:tcPr>
            <w:tcW w:w="258"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100</w:t>
            </w:r>
          </w:p>
        </w:tc>
        <w:tc>
          <w:tcPr>
            <w:tcW w:w="671"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10元/份</w:t>
            </w:r>
          </w:p>
        </w:tc>
        <w:tc>
          <w:tcPr>
            <w:tcW w:w="516"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村民</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96" w:type="pct"/>
            <w:vMerge w:val="restar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4</w:t>
            </w:r>
          </w:p>
        </w:tc>
        <w:tc>
          <w:tcPr>
            <w:tcW w:w="370" w:type="pct"/>
            <w:vMerge w:val="restar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组织开展论证</w:t>
            </w:r>
          </w:p>
        </w:tc>
        <w:tc>
          <w:tcPr>
            <w:tcW w:w="1946" w:type="pct"/>
            <w:vMerge w:val="restar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全面梳理民意，理清群众的主流意见及核心诉求；针对群众的意见和诉求，对可能存在的社会稳定风险进行预测评估，并研究提出化解的措施和办法；组织专家论证，专家论证主要由专家、当地熟悉情况乡村干部、群众代表组成，对开展稳评工作的方式方法、所作的风险分析预测以及提出的应对措施、评估初步结论进行综合评价，并进行研究完善，论证结束后出具论证意见。</w:t>
            </w:r>
          </w:p>
        </w:tc>
        <w:tc>
          <w:tcPr>
            <w:tcW w:w="694"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人工成本</w:t>
            </w:r>
          </w:p>
        </w:tc>
        <w:tc>
          <w:tcPr>
            <w:tcW w:w="345"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19,440</w:t>
            </w:r>
          </w:p>
        </w:tc>
        <w:tc>
          <w:tcPr>
            <w:tcW w:w="258"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6</w:t>
            </w:r>
          </w:p>
        </w:tc>
        <w:tc>
          <w:tcPr>
            <w:tcW w:w="671"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val="en-US" w:eastAsia="zh-CN" w:bidi="ar"/>
              </w:rPr>
              <w:t>项目经理600元/日、土地估价师400元/日</w:t>
            </w:r>
            <w:r>
              <w:rPr>
                <w:rFonts w:hint="eastAsia" w:ascii="仿宋" w:hAnsi="仿宋" w:eastAsia="仿宋" w:cs="仿宋"/>
                <w:color w:val="000000"/>
                <w:kern w:val="0"/>
                <w:sz w:val="15"/>
                <w:szCs w:val="15"/>
                <w:lang w:eastAsia="zh-CN" w:bidi="ar"/>
              </w:rPr>
              <w:t>、</w:t>
            </w:r>
            <w:r>
              <w:rPr>
                <w:rFonts w:hint="eastAsia" w:ascii="仿宋" w:hAnsi="仿宋" w:eastAsia="仿宋" w:cs="仿宋"/>
                <w:color w:val="000000"/>
                <w:kern w:val="0"/>
                <w:sz w:val="15"/>
                <w:szCs w:val="15"/>
                <w:lang w:val="en-US" w:eastAsia="zh-CN" w:bidi="ar"/>
              </w:rPr>
              <w:t>估价师助理240元/日</w:t>
            </w:r>
          </w:p>
        </w:tc>
        <w:tc>
          <w:tcPr>
            <w:tcW w:w="516"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1</w:t>
            </w:r>
            <w:r>
              <w:rPr>
                <w:rFonts w:hint="eastAsia" w:ascii="仿宋" w:hAnsi="仿宋" w:eastAsia="仿宋" w:cs="仿宋"/>
                <w:color w:val="000000"/>
                <w:kern w:val="0"/>
                <w:sz w:val="15"/>
                <w:szCs w:val="15"/>
                <w:lang w:val="en-US" w:eastAsia="zh-CN" w:bidi="ar"/>
              </w:rPr>
              <w:t>名</w:t>
            </w:r>
            <w:r>
              <w:rPr>
                <w:rFonts w:hint="eastAsia" w:ascii="仿宋" w:hAnsi="仿宋" w:eastAsia="仿宋" w:cs="仿宋"/>
                <w:color w:val="000000"/>
                <w:kern w:val="0"/>
                <w:sz w:val="15"/>
                <w:szCs w:val="15"/>
                <w:lang w:bidi="ar"/>
              </w:rPr>
              <w:t>项目经理、3</w:t>
            </w:r>
            <w:r>
              <w:rPr>
                <w:rFonts w:hint="eastAsia" w:ascii="仿宋" w:hAnsi="仿宋" w:eastAsia="仿宋" w:cs="仿宋"/>
                <w:color w:val="000000"/>
                <w:kern w:val="0"/>
                <w:sz w:val="15"/>
                <w:szCs w:val="15"/>
                <w:lang w:val="en-US" w:eastAsia="zh-CN" w:bidi="ar"/>
              </w:rPr>
              <w:t>名</w:t>
            </w:r>
            <w:r>
              <w:rPr>
                <w:rFonts w:hint="eastAsia" w:ascii="仿宋" w:hAnsi="仿宋" w:eastAsia="仿宋" w:cs="仿宋"/>
                <w:color w:val="000000"/>
                <w:kern w:val="0"/>
                <w:sz w:val="15"/>
                <w:szCs w:val="15"/>
                <w:lang w:bidi="ar"/>
              </w:rPr>
              <w:t>土地估价师、6</w:t>
            </w:r>
            <w:r>
              <w:rPr>
                <w:rFonts w:hint="eastAsia" w:ascii="仿宋" w:hAnsi="仿宋" w:eastAsia="仿宋" w:cs="仿宋"/>
                <w:color w:val="000000"/>
                <w:kern w:val="0"/>
                <w:sz w:val="15"/>
                <w:szCs w:val="15"/>
                <w:lang w:val="en-US" w:eastAsia="zh-CN" w:bidi="ar"/>
              </w:rPr>
              <w:t>名</w:t>
            </w:r>
            <w:r>
              <w:rPr>
                <w:rFonts w:hint="eastAsia" w:ascii="仿宋" w:hAnsi="仿宋" w:eastAsia="仿宋" w:cs="仿宋"/>
                <w:color w:val="000000"/>
                <w:kern w:val="0"/>
                <w:sz w:val="15"/>
                <w:szCs w:val="15"/>
                <w:lang w:bidi="ar"/>
              </w:rPr>
              <w:t>估价师助理</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6" w:type="pct"/>
            <w:vMerge w:val="continue"/>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color w:val="000000"/>
                <w:sz w:val="15"/>
                <w:szCs w:val="15"/>
              </w:rPr>
            </w:pPr>
          </w:p>
        </w:tc>
        <w:tc>
          <w:tcPr>
            <w:tcW w:w="370" w:type="pct"/>
            <w:vMerge w:val="continue"/>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color w:val="000000"/>
                <w:sz w:val="15"/>
                <w:szCs w:val="15"/>
              </w:rPr>
            </w:pPr>
          </w:p>
        </w:tc>
        <w:tc>
          <w:tcPr>
            <w:tcW w:w="1946" w:type="pct"/>
            <w:vMerge w:val="continue"/>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color w:val="000000"/>
                <w:sz w:val="15"/>
                <w:szCs w:val="15"/>
              </w:rPr>
            </w:pPr>
          </w:p>
        </w:tc>
        <w:tc>
          <w:tcPr>
            <w:tcW w:w="694"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专家代表费</w:t>
            </w:r>
          </w:p>
        </w:tc>
        <w:tc>
          <w:tcPr>
            <w:tcW w:w="345"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5,000</w:t>
            </w:r>
          </w:p>
        </w:tc>
        <w:tc>
          <w:tcPr>
            <w:tcW w:w="258"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sz w:val="15"/>
                <w:szCs w:val="15"/>
                <w:lang w:eastAsia="zh-CN"/>
              </w:rPr>
              <w:t>——</w:t>
            </w:r>
          </w:p>
        </w:tc>
        <w:tc>
          <w:tcPr>
            <w:tcW w:w="671"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楷体"/>
                <w:bCs/>
                <w:color w:val="000000"/>
                <w:sz w:val="15"/>
                <w:szCs w:val="15"/>
              </w:rPr>
              <w:t>1000元每人</w:t>
            </w:r>
          </w:p>
        </w:tc>
        <w:tc>
          <w:tcPr>
            <w:tcW w:w="516"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val="en-US" w:eastAsia="zh-CN" w:bidi="ar"/>
              </w:rPr>
              <w:t>5名</w:t>
            </w:r>
            <w:r>
              <w:rPr>
                <w:rFonts w:hint="eastAsia" w:ascii="仿宋" w:hAnsi="仿宋" w:eastAsia="仿宋" w:cs="仿宋"/>
                <w:color w:val="000000"/>
                <w:kern w:val="0"/>
                <w:sz w:val="15"/>
                <w:szCs w:val="15"/>
                <w:lang w:bidi="ar"/>
              </w:rPr>
              <w:t>专家代表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6" w:type="pct"/>
            <w:vMerge w:val="continue"/>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370" w:type="pct"/>
            <w:vMerge w:val="continue"/>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1946" w:type="pct"/>
            <w:vMerge w:val="continue"/>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694"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座谈费</w:t>
            </w:r>
          </w:p>
        </w:tc>
        <w:tc>
          <w:tcPr>
            <w:tcW w:w="345"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2,000</w:t>
            </w:r>
          </w:p>
        </w:tc>
        <w:tc>
          <w:tcPr>
            <w:tcW w:w="258"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r>
              <w:rPr>
                <w:rFonts w:hint="eastAsia" w:ascii="仿宋" w:hAnsi="仿宋" w:eastAsia="仿宋" w:cs="仿宋"/>
                <w:color w:val="000000"/>
                <w:sz w:val="15"/>
                <w:szCs w:val="15"/>
                <w:lang w:eastAsia="zh-CN"/>
              </w:rPr>
              <w:t>——</w:t>
            </w:r>
          </w:p>
        </w:tc>
        <w:tc>
          <w:tcPr>
            <w:tcW w:w="671"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楷体"/>
                <w:bCs/>
                <w:color w:val="000000"/>
                <w:sz w:val="15"/>
                <w:szCs w:val="15"/>
              </w:rPr>
              <w:t>200元每人</w:t>
            </w:r>
          </w:p>
        </w:tc>
        <w:tc>
          <w:tcPr>
            <w:tcW w:w="516"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val="en-US" w:eastAsia="zh-CN" w:bidi="ar"/>
              </w:rPr>
              <w:t>10名</w:t>
            </w:r>
            <w:r>
              <w:rPr>
                <w:rFonts w:hint="eastAsia" w:ascii="仿宋" w:hAnsi="仿宋" w:eastAsia="仿宋" w:cs="仿宋"/>
                <w:color w:val="000000"/>
                <w:kern w:val="0"/>
                <w:sz w:val="15"/>
                <w:szCs w:val="15"/>
                <w:lang w:bidi="ar"/>
              </w:rPr>
              <w:t>村干部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6" w:type="pct"/>
            <w:vMerge w:val="restar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5</w:t>
            </w:r>
          </w:p>
        </w:tc>
        <w:tc>
          <w:tcPr>
            <w:tcW w:w="370" w:type="pct"/>
            <w:vMerge w:val="restar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确定风险等级</w:t>
            </w:r>
          </w:p>
        </w:tc>
        <w:tc>
          <w:tcPr>
            <w:tcW w:w="1946" w:type="pct"/>
            <w:vMerge w:val="restar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以问题化解为导向，根据调查和论证情况，按照低风险（C级）、中风险（B级）、高风险（A级）三个标准确定风险等级</w:t>
            </w:r>
            <w:r>
              <w:rPr>
                <w:rFonts w:hint="eastAsia" w:ascii="仿宋" w:hAnsi="仿宋" w:eastAsia="仿宋" w:cs="仿宋"/>
                <w:color w:val="000000"/>
                <w:kern w:val="0"/>
                <w:sz w:val="15"/>
                <w:szCs w:val="15"/>
                <w:lang w:eastAsia="zh-CN" w:bidi="ar"/>
              </w:rPr>
              <w:t>。</w:t>
            </w:r>
          </w:p>
        </w:tc>
        <w:tc>
          <w:tcPr>
            <w:tcW w:w="694"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人工成本</w:t>
            </w:r>
          </w:p>
        </w:tc>
        <w:tc>
          <w:tcPr>
            <w:tcW w:w="345"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7,000</w:t>
            </w:r>
          </w:p>
        </w:tc>
        <w:tc>
          <w:tcPr>
            <w:tcW w:w="258"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5</w:t>
            </w:r>
          </w:p>
        </w:tc>
        <w:tc>
          <w:tcPr>
            <w:tcW w:w="671"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val="en-US" w:eastAsia="zh-CN" w:bidi="ar"/>
              </w:rPr>
              <w:t>项目经理600元/日、土地估价师400元/日</w:t>
            </w:r>
          </w:p>
        </w:tc>
        <w:tc>
          <w:tcPr>
            <w:tcW w:w="516"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1名项目经理、2名土地估价师</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6" w:type="pct"/>
            <w:vMerge w:val="continue"/>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370" w:type="pct"/>
            <w:vMerge w:val="continue"/>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1946" w:type="pct"/>
            <w:vMerge w:val="continue"/>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694"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专家论证费</w:t>
            </w:r>
          </w:p>
        </w:tc>
        <w:tc>
          <w:tcPr>
            <w:tcW w:w="345"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10,000</w:t>
            </w:r>
          </w:p>
        </w:tc>
        <w:tc>
          <w:tcPr>
            <w:tcW w:w="258"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r>
              <w:rPr>
                <w:rFonts w:hint="eastAsia" w:ascii="仿宋" w:hAnsi="仿宋" w:eastAsia="仿宋" w:cs="仿宋"/>
                <w:color w:val="000000"/>
                <w:sz w:val="15"/>
                <w:szCs w:val="15"/>
                <w:lang w:eastAsia="zh-CN"/>
              </w:rPr>
              <w:t>——</w:t>
            </w:r>
          </w:p>
        </w:tc>
        <w:tc>
          <w:tcPr>
            <w:tcW w:w="671"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楷体"/>
                <w:bCs/>
                <w:color w:val="000000"/>
                <w:sz w:val="15"/>
                <w:szCs w:val="15"/>
              </w:rPr>
              <w:t>2000元每人</w:t>
            </w:r>
          </w:p>
        </w:tc>
        <w:tc>
          <w:tcPr>
            <w:tcW w:w="516"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val="en-US" w:eastAsia="zh-CN" w:bidi="ar"/>
              </w:rPr>
              <w:t>5名</w:t>
            </w:r>
            <w:r>
              <w:rPr>
                <w:rFonts w:hint="eastAsia" w:ascii="仿宋" w:hAnsi="仿宋" w:eastAsia="仿宋" w:cs="仿宋"/>
                <w:color w:val="000000"/>
                <w:kern w:val="0"/>
                <w:sz w:val="15"/>
                <w:szCs w:val="15"/>
                <w:lang w:bidi="ar"/>
              </w:rPr>
              <w:t>专家</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6" w:type="pct"/>
            <w:vMerge w:val="restar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6</w:t>
            </w:r>
          </w:p>
        </w:tc>
        <w:tc>
          <w:tcPr>
            <w:tcW w:w="370" w:type="pct"/>
            <w:vMerge w:val="restar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编制评估报告</w:t>
            </w:r>
          </w:p>
        </w:tc>
        <w:tc>
          <w:tcPr>
            <w:tcW w:w="1946" w:type="pct"/>
            <w:vMerge w:val="restar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土地征收社会稳定风险评估报告包括评估事项和评估过程，各方意见采纳情况，决策可能引发的社会稳定风险，风险评估结论和对策建议，风险防范和化解措施及应急预案制定情况等内容。</w:t>
            </w:r>
          </w:p>
        </w:tc>
        <w:tc>
          <w:tcPr>
            <w:tcW w:w="694"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人工成本</w:t>
            </w:r>
          </w:p>
        </w:tc>
        <w:tc>
          <w:tcPr>
            <w:tcW w:w="345"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7,000</w:t>
            </w:r>
          </w:p>
        </w:tc>
        <w:tc>
          <w:tcPr>
            <w:tcW w:w="258"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5</w:t>
            </w:r>
          </w:p>
        </w:tc>
        <w:tc>
          <w:tcPr>
            <w:tcW w:w="671"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val="en-US" w:eastAsia="zh-CN" w:bidi="ar"/>
              </w:rPr>
              <w:t>项目经理600元/日、土地估价师400元/日</w:t>
            </w:r>
          </w:p>
        </w:tc>
        <w:tc>
          <w:tcPr>
            <w:tcW w:w="516"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1名项目经理、2名土地估价师</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6" w:type="pct"/>
            <w:vMerge w:val="continue"/>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370" w:type="pct"/>
            <w:vMerge w:val="continue"/>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1946" w:type="pct"/>
            <w:vMerge w:val="continue"/>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694"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打印成</w:t>
            </w:r>
            <w:r>
              <w:rPr>
                <w:rFonts w:hint="eastAsia" w:ascii="仿宋" w:hAnsi="仿宋" w:eastAsia="仿宋" w:cs="仿宋"/>
                <w:color w:val="000000"/>
                <w:kern w:val="0"/>
                <w:sz w:val="15"/>
                <w:szCs w:val="15"/>
                <w:lang w:val="en-US" w:eastAsia="zh-CN" w:bidi="ar"/>
              </w:rPr>
              <w:t>本</w:t>
            </w:r>
          </w:p>
        </w:tc>
        <w:tc>
          <w:tcPr>
            <w:tcW w:w="345"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500</w:t>
            </w:r>
          </w:p>
        </w:tc>
        <w:tc>
          <w:tcPr>
            <w:tcW w:w="258"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671"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516"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6"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7</w:t>
            </w:r>
          </w:p>
        </w:tc>
        <w:tc>
          <w:tcPr>
            <w:tcW w:w="370"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评估报告备案</w:t>
            </w:r>
          </w:p>
        </w:tc>
        <w:tc>
          <w:tcPr>
            <w:tcW w:w="1946"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送交《江西省重大决策社会稳定风险评估备案表》及评估报告到政法委备案。备案后，应将有关材料归档保存。</w:t>
            </w:r>
          </w:p>
        </w:tc>
        <w:tc>
          <w:tcPr>
            <w:tcW w:w="694"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人工成本</w:t>
            </w:r>
          </w:p>
        </w:tc>
        <w:tc>
          <w:tcPr>
            <w:tcW w:w="345"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600</w:t>
            </w:r>
          </w:p>
        </w:tc>
        <w:tc>
          <w:tcPr>
            <w:tcW w:w="258"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1</w:t>
            </w:r>
          </w:p>
        </w:tc>
        <w:tc>
          <w:tcPr>
            <w:tcW w:w="671"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val="en-US" w:eastAsia="zh-CN" w:bidi="ar"/>
              </w:rPr>
              <w:t>项目经理600元/日</w:t>
            </w:r>
          </w:p>
        </w:tc>
        <w:tc>
          <w:tcPr>
            <w:tcW w:w="516"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1名项目经理</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283" w:hRule="atLeast"/>
        </w:trPr>
        <w:tc>
          <w:tcPr>
            <w:tcW w:w="196"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8</w:t>
            </w:r>
          </w:p>
        </w:tc>
        <w:tc>
          <w:tcPr>
            <w:tcW w:w="370"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管理费</w:t>
            </w:r>
          </w:p>
        </w:tc>
        <w:tc>
          <w:tcPr>
            <w:tcW w:w="1946"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公司持续发展需要配备办公场所费用、员工五险一金费用、员工项目提成费用及公司行政、财务人员等产生的管理费用</w:t>
            </w:r>
            <w:r>
              <w:rPr>
                <w:rFonts w:hint="eastAsia" w:ascii="仿宋" w:hAnsi="仿宋" w:eastAsia="仿宋" w:cs="仿宋"/>
                <w:color w:val="000000"/>
                <w:kern w:val="0"/>
                <w:sz w:val="15"/>
                <w:szCs w:val="15"/>
                <w:lang w:eastAsia="zh-CN" w:bidi="ar"/>
              </w:rPr>
              <w:t>。</w:t>
            </w:r>
          </w:p>
        </w:tc>
        <w:tc>
          <w:tcPr>
            <w:tcW w:w="694"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r>
              <w:rPr>
                <w:rFonts w:hint="eastAsia" w:ascii="仿宋" w:hAnsi="仿宋" w:eastAsia="仿宋" w:cs="仿宋"/>
                <w:bCs w:val="0"/>
                <w:color w:val="000000"/>
                <w:kern w:val="0"/>
                <w:sz w:val="15"/>
                <w:szCs w:val="15"/>
                <w:lang w:bidi="ar"/>
              </w:rPr>
              <w:t>按照上述成本（1-7）的15%计算</w:t>
            </w:r>
          </w:p>
        </w:tc>
        <w:tc>
          <w:tcPr>
            <w:tcW w:w="345"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18,381</w:t>
            </w:r>
          </w:p>
        </w:tc>
        <w:tc>
          <w:tcPr>
            <w:tcW w:w="258"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671"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516"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6"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kern w:val="0"/>
                <w:sz w:val="15"/>
                <w:szCs w:val="15"/>
                <w:lang w:val="en-US" w:eastAsia="zh-CN" w:bidi="ar"/>
              </w:rPr>
            </w:pPr>
            <w:r>
              <w:rPr>
                <w:rFonts w:hint="eastAsia" w:ascii="仿宋" w:hAnsi="仿宋" w:eastAsia="仿宋" w:cs="仿宋"/>
                <w:color w:val="000000"/>
                <w:kern w:val="0"/>
                <w:sz w:val="15"/>
                <w:szCs w:val="15"/>
                <w:lang w:val="en-US" w:eastAsia="zh-CN" w:bidi="ar"/>
              </w:rPr>
              <w:t>9</w:t>
            </w:r>
          </w:p>
        </w:tc>
        <w:tc>
          <w:tcPr>
            <w:tcW w:w="370"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default" w:ascii="仿宋" w:hAnsi="仿宋" w:eastAsia="仿宋" w:cs="仿宋"/>
                <w:color w:val="000000"/>
                <w:kern w:val="0"/>
                <w:sz w:val="15"/>
                <w:szCs w:val="15"/>
                <w:lang w:val="en-US" w:eastAsia="zh-CN" w:bidi="ar"/>
              </w:rPr>
            </w:pPr>
            <w:r>
              <w:rPr>
                <w:rFonts w:hint="eastAsia" w:ascii="仿宋" w:hAnsi="仿宋" w:eastAsia="仿宋" w:cs="仿宋"/>
                <w:color w:val="000000"/>
                <w:kern w:val="0"/>
                <w:sz w:val="15"/>
                <w:szCs w:val="15"/>
                <w:lang w:val="en-US" w:eastAsia="zh-CN" w:bidi="ar"/>
              </w:rPr>
              <w:t>不可预见费</w:t>
            </w:r>
          </w:p>
        </w:tc>
        <w:tc>
          <w:tcPr>
            <w:tcW w:w="1946"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kern w:val="0"/>
                <w:sz w:val="15"/>
                <w:szCs w:val="15"/>
                <w:lang w:bidi="ar"/>
              </w:rPr>
            </w:pPr>
            <w:r>
              <w:rPr>
                <w:rFonts w:hint="eastAsia" w:ascii="仿宋" w:hAnsi="仿宋" w:eastAsia="仿宋" w:cs="仿宋"/>
                <w:b w:val="0"/>
                <w:bCs w:val="0"/>
                <w:color w:val="000000"/>
                <w:kern w:val="0"/>
                <w:sz w:val="15"/>
                <w:szCs w:val="15"/>
                <w:lang w:val="en-US" w:eastAsia="zh-CN" w:bidi="ar"/>
              </w:rPr>
              <w:t>为公司在进行</w:t>
            </w:r>
            <w:r>
              <w:rPr>
                <w:rFonts w:hint="eastAsia" w:ascii="仿宋" w:hAnsi="仿宋" w:eastAsia="仿宋" w:cs="仿宋"/>
                <w:bCs w:val="0"/>
                <w:color w:val="000000"/>
                <w:kern w:val="0"/>
                <w:sz w:val="15"/>
                <w:szCs w:val="15"/>
                <w:lang w:bidi="ar"/>
              </w:rPr>
              <w:t>土地征收社会稳定风险评估</w:t>
            </w:r>
            <w:r>
              <w:rPr>
                <w:rFonts w:hint="eastAsia" w:ascii="仿宋" w:hAnsi="仿宋" w:eastAsia="仿宋" w:cs="仿宋"/>
                <w:bCs w:val="0"/>
                <w:color w:val="000000"/>
                <w:kern w:val="0"/>
                <w:sz w:val="15"/>
                <w:szCs w:val="15"/>
                <w:lang w:val="en-US" w:eastAsia="zh-CN" w:bidi="ar"/>
              </w:rPr>
              <w:t>时，因不可预见的因素给公司带来的风险导致成本费用的增加。</w:t>
            </w:r>
          </w:p>
        </w:tc>
        <w:tc>
          <w:tcPr>
            <w:tcW w:w="694"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color w:val="000000"/>
                <w:sz w:val="15"/>
                <w:szCs w:val="15"/>
              </w:rPr>
            </w:pPr>
            <w:r>
              <w:rPr>
                <w:rFonts w:hint="eastAsia" w:ascii="仿宋" w:hAnsi="仿宋" w:eastAsia="仿宋" w:cs="仿宋"/>
                <w:bCs w:val="0"/>
                <w:color w:val="000000"/>
                <w:kern w:val="0"/>
                <w:sz w:val="15"/>
                <w:szCs w:val="15"/>
                <w:lang w:bidi="ar"/>
              </w:rPr>
              <w:t>按照上述成本（1-7）的5%计算</w:t>
            </w:r>
          </w:p>
        </w:tc>
        <w:tc>
          <w:tcPr>
            <w:tcW w:w="345"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kern w:val="0"/>
                <w:sz w:val="15"/>
                <w:szCs w:val="15"/>
                <w:lang w:bidi="ar"/>
              </w:rPr>
            </w:pPr>
            <w:r>
              <w:rPr>
                <w:rFonts w:hint="eastAsia" w:ascii="仿宋" w:hAnsi="仿宋" w:eastAsia="仿宋" w:cs="仿宋"/>
                <w:bCs w:val="0"/>
                <w:color w:val="000000"/>
                <w:kern w:val="0"/>
                <w:sz w:val="15"/>
                <w:szCs w:val="15"/>
                <w:lang w:val="en-US" w:eastAsia="zh-CN" w:bidi="ar"/>
              </w:rPr>
              <w:t>6</w:t>
            </w:r>
            <w:r>
              <w:rPr>
                <w:rFonts w:hint="eastAsia" w:ascii="仿宋" w:hAnsi="仿宋" w:eastAsia="仿宋" w:cs="仿宋"/>
                <w:bCs w:val="0"/>
                <w:color w:val="000000"/>
                <w:kern w:val="0"/>
                <w:sz w:val="15"/>
                <w:szCs w:val="15"/>
                <w:lang w:bidi="ar"/>
              </w:rPr>
              <w:t>,</w:t>
            </w:r>
            <w:r>
              <w:rPr>
                <w:rFonts w:hint="eastAsia" w:ascii="仿宋" w:hAnsi="仿宋" w:eastAsia="仿宋" w:cs="仿宋"/>
                <w:bCs w:val="0"/>
                <w:color w:val="000000"/>
                <w:kern w:val="0"/>
                <w:sz w:val="15"/>
                <w:szCs w:val="15"/>
                <w:lang w:val="en-US" w:eastAsia="zh-CN" w:bidi="ar"/>
              </w:rPr>
              <w:t>127</w:t>
            </w:r>
          </w:p>
        </w:tc>
        <w:tc>
          <w:tcPr>
            <w:tcW w:w="258"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kern w:val="0"/>
                <w:sz w:val="15"/>
                <w:szCs w:val="15"/>
                <w:lang w:bidi="ar"/>
              </w:rPr>
            </w:pPr>
          </w:p>
        </w:tc>
        <w:tc>
          <w:tcPr>
            <w:tcW w:w="671"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color w:val="000000"/>
                <w:sz w:val="15"/>
                <w:szCs w:val="15"/>
              </w:rPr>
            </w:pPr>
          </w:p>
        </w:tc>
        <w:tc>
          <w:tcPr>
            <w:tcW w:w="516"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color w:val="000000"/>
                <w:sz w:val="15"/>
                <w:szCs w:val="15"/>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6"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default" w:ascii="仿宋" w:hAnsi="仿宋" w:eastAsia="仿宋" w:cs="仿宋"/>
                <w:color w:val="000000"/>
                <w:kern w:val="0"/>
                <w:sz w:val="15"/>
                <w:szCs w:val="15"/>
                <w:lang w:val="en-US" w:eastAsia="zh-CN" w:bidi="ar"/>
              </w:rPr>
            </w:pPr>
            <w:r>
              <w:rPr>
                <w:rFonts w:hint="eastAsia" w:ascii="仿宋" w:hAnsi="仿宋" w:eastAsia="仿宋" w:cs="仿宋"/>
                <w:color w:val="000000"/>
                <w:kern w:val="0"/>
                <w:sz w:val="15"/>
                <w:szCs w:val="15"/>
                <w:lang w:val="en-US" w:eastAsia="zh-CN" w:bidi="ar"/>
              </w:rPr>
              <w:t>10</w:t>
            </w:r>
          </w:p>
        </w:tc>
        <w:tc>
          <w:tcPr>
            <w:tcW w:w="370"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kern w:val="0"/>
                <w:sz w:val="15"/>
                <w:szCs w:val="15"/>
                <w:lang w:val="en-US" w:eastAsia="zh-CN" w:bidi="ar"/>
              </w:rPr>
            </w:pPr>
            <w:r>
              <w:rPr>
                <w:rFonts w:hint="eastAsia" w:ascii="仿宋" w:hAnsi="仿宋" w:eastAsia="仿宋" w:cs="仿宋"/>
                <w:color w:val="000000"/>
                <w:kern w:val="0"/>
                <w:sz w:val="15"/>
                <w:szCs w:val="15"/>
                <w:lang w:val="en-US" w:eastAsia="zh-CN" w:bidi="ar"/>
              </w:rPr>
              <w:t>利润</w:t>
            </w:r>
          </w:p>
        </w:tc>
        <w:tc>
          <w:tcPr>
            <w:tcW w:w="1946"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kern w:val="0"/>
                <w:sz w:val="15"/>
                <w:szCs w:val="15"/>
                <w:lang w:bidi="ar"/>
              </w:rPr>
            </w:pPr>
            <w:r>
              <w:rPr>
                <w:rFonts w:hint="eastAsia" w:ascii="仿宋" w:hAnsi="仿宋" w:eastAsia="仿宋" w:cs="仿宋"/>
                <w:bCs w:val="0"/>
                <w:color w:val="000000"/>
                <w:kern w:val="0"/>
                <w:sz w:val="15"/>
                <w:szCs w:val="15"/>
                <w:lang w:val="en-US" w:eastAsia="zh-CN" w:bidi="ar"/>
              </w:rPr>
              <w:t>为企业长远发展需要的合理利润。</w:t>
            </w:r>
          </w:p>
        </w:tc>
        <w:tc>
          <w:tcPr>
            <w:tcW w:w="694"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r>
              <w:rPr>
                <w:rFonts w:hint="eastAsia" w:ascii="仿宋" w:hAnsi="仿宋" w:eastAsia="仿宋" w:cs="仿宋"/>
                <w:bCs w:val="0"/>
                <w:i w:val="0"/>
                <w:iCs w:val="0"/>
                <w:caps w:val="0"/>
                <w:color w:val="000000"/>
                <w:spacing w:val="0"/>
                <w:kern w:val="0"/>
                <w:sz w:val="15"/>
                <w:szCs w:val="15"/>
                <w:shd w:val="clear" w:color="auto" w:fill="auto"/>
                <w:lang w:val="en-US" w:eastAsia="zh-CN" w:bidi="ar"/>
              </w:rPr>
              <w:t>按上述成本（1-9）的5%计算</w:t>
            </w:r>
          </w:p>
        </w:tc>
        <w:tc>
          <w:tcPr>
            <w:tcW w:w="345"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color w:val="000000"/>
                <w:kern w:val="0"/>
                <w:sz w:val="15"/>
                <w:szCs w:val="15"/>
                <w:lang w:bidi="ar"/>
              </w:rPr>
            </w:pPr>
            <w:r>
              <w:rPr>
                <w:rFonts w:hint="eastAsia" w:ascii="仿宋" w:hAnsi="仿宋" w:eastAsia="仿宋" w:cs="仿宋"/>
                <w:bCs w:val="0"/>
                <w:i w:val="0"/>
                <w:iCs w:val="0"/>
                <w:caps w:val="0"/>
                <w:color w:val="000000"/>
                <w:spacing w:val="0"/>
                <w:kern w:val="0"/>
                <w:sz w:val="15"/>
                <w:szCs w:val="15"/>
                <w:shd w:val="clear" w:color="auto" w:fill="auto"/>
                <w:lang w:val="en-US" w:eastAsia="zh-CN" w:bidi="ar"/>
              </w:rPr>
              <w:t>7,352</w:t>
            </w:r>
          </w:p>
        </w:tc>
        <w:tc>
          <w:tcPr>
            <w:tcW w:w="258"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671"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c>
          <w:tcPr>
            <w:tcW w:w="516"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color w:val="000000"/>
                <w:sz w:val="15"/>
                <w:szCs w:val="15"/>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96"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default" w:ascii="仿宋" w:hAnsi="仿宋" w:eastAsia="仿宋" w:cs="仿宋"/>
                <w:color w:val="000000"/>
                <w:sz w:val="15"/>
                <w:szCs w:val="15"/>
                <w:lang w:val="en-US" w:eastAsia="zh-CN"/>
              </w:rPr>
            </w:pPr>
            <w:r>
              <w:rPr>
                <w:rFonts w:hint="eastAsia" w:ascii="仿宋" w:hAnsi="仿宋" w:eastAsia="仿宋" w:cs="仿宋"/>
                <w:color w:val="000000"/>
                <w:kern w:val="0"/>
                <w:sz w:val="15"/>
                <w:szCs w:val="15"/>
                <w:lang w:val="en-US" w:eastAsia="zh-CN" w:bidi="ar"/>
              </w:rPr>
              <w:t>11</w:t>
            </w:r>
          </w:p>
        </w:tc>
        <w:tc>
          <w:tcPr>
            <w:tcW w:w="370"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税费</w:t>
            </w:r>
          </w:p>
        </w:tc>
        <w:tc>
          <w:tcPr>
            <w:tcW w:w="1946"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sz w:val="15"/>
                <w:szCs w:val="15"/>
              </w:rPr>
            </w:pPr>
            <w:r>
              <w:rPr>
                <w:rFonts w:hint="eastAsia" w:ascii="仿宋" w:hAnsi="仿宋" w:eastAsia="仿宋" w:cs="仿宋"/>
                <w:color w:val="000000"/>
                <w:kern w:val="0"/>
                <w:sz w:val="15"/>
                <w:szCs w:val="15"/>
                <w:lang w:bidi="ar"/>
              </w:rPr>
              <w:t>项目涉及到的相关税费</w:t>
            </w:r>
            <w:r>
              <w:rPr>
                <w:rFonts w:hint="eastAsia" w:ascii="仿宋" w:hAnsi="仿宋" w:eastAsia="仿宋" w:cs="仿宋"/>
                <w:color w:val="000000"/>
                <w:kern w:val="0"/>
                <w:sz w:val="15"/>
                <w:szCs w:val="15"/>
                <w:lang w:eastAsia="zh-CN" w:bidi="ar"/>
              </w:rPr>
              <w:t>。</w:t>
            </w:r>
          </w:p>
        </w:tc>
        <w:tc>
          <w:tcPr>
            <w:tcW w:w="694"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color w:val="000000"/>
                <w:sz w:val="15"/>
                <w:szCs w:val="15"/>
              </w:rPr>
            </w:pPr>
            <w:r>
              <w:rPr>
                <w:rFonts w:hint="eastAsia" w:ascii="仿宋" w:hAnsi="仿宋" w:eastAsia="仿宋" w:cs="仿宋"/>
                <w:bCs w:val="0"/>
                <w:i w:val="0"/>
                <w:iCs w:val="0"/>
                <w:caps w:val="0"/>
                <w:color w:val="000000"/>
                <w:spacing w:val="0"/>
                <w:kern w:val="0"/>
                <w:sz w:val="15"/>
                <w:szCs w:val="15"/>
                <w:shd w:val="clear" w:color="auto" w:fill="auto"/>
                <w:lang w:val="en-US" w:eastAsia="zh-CN" w:bidi="ar"/>
              </w:rPr>
              <w:t>按上述成本（1-9）的8.5%计算</w:t>
            </w:r>
          </w:p>
        </w:tc>
        <w:tc>
          <w:tcPr>
            <w:tcW w:w="345"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textAlignment w:val="center"/>
              <w:rPr>
                <w:rFonts w:hint="eastAsia" w:ascii="仿宋" w:hAnsi="仿宋" w:eastAsia="仿宋" w:cs="仿宋"/>
                <w:color w:val="000000"/>
                <w:kern w:val="0"/>
                <w:sz w:val="15"/>
                <w:szCs w:val="15"/>
                <w:lang w:bidi="ar"/>
              </w:rPr>
            </w:pPr>
            <w:r>
              <w:rPr>
                <w:rFonts w:hint="eastAsia" w:ascii="仿宋" w:hAnsi="仿宋" w:eastAsia="仿宋" w:cs="仿宋"/>
                <w:bCs w:val="0"/>
                <w:color w:val="000000"/>
                <w:kern w:val="0"/>
                <w:sz w:val="15"/>
                <w:szCs w:val="15"/>
                <w:lang w:bidi="ar"/>
              </w:rPr>
              <w:t>1</w:t>
            </w:r>
            <w:r>
              <w:rPr>
                <w:rFonts w:hint="eastAsia" w:ascii="仿宋" w:hAnsi="仿宋" w:eastAsia="仿宋" w:cs="仿宋"/>
                <w:bCs w:val="0"/>
                <w:color w:val="000000"/>
                <w:kern w:val="0"/>
                <w:sz w:val="15"/>
                <w:szCs w:val="15"/>
                <w:lang w:val="en-US" w:eastAsia="zh-CN" w:bidi="ar"/>
              </w:rPr>
              <w:t>2</w:t>
            </w:r>
            <w:r>
              <w:rPr>
                <w:rFonts w:hint="eastAsia" w:ascii="仿宋" w:hAnsi="仿宋" w:eastAsia="仿宋" w:cs="仿宋"/>
                <w:bCs w:val="0"/>
                <w:color w:val="000000"/>
                <w:kern w:val="0"/>
                <w:sz w:val="15"/>
                <w:szCs w:val="15"/>
                <w:lang w:bidi="ar"/>
              </w:rPr>
              <w:t>,</w:t>
            </w:r>
            <w:r>
              <w:rPr>
                <w:rFonts w:hint="eastAsia" w:ascii="仿宋" w:hAnsi="仿宋" w:eastAsia="仿宋" w:cs="仿宋"/>
                <w:bCs w:val="0"/>
                <w:color w:val="000000"/>
                <w:kern w:val="0"/>
                <w:sz w:val="15"/>
                <w:szCs w:val="15"/>
                <w:lang w:val="en-US" w:eastAsia="zh-CN" w:bidi="ar"/>
              </w:rPr>
              <w:t>278</w:t>
            </w:r>
          </w:p>
        </w:tc>
        <w:tc>
          <w:tcPr>
            <w:tcW w:w="258"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color w:val="000000"/>
                <w:sz w:val="15"/>
                <w:szCs w:val="15"/>
              </w:rPr>
            </w:pPr>
          </w:p>
        </w:tc>
        <w:tc>
          <w:tcPr>
            <w:tcW w:w="671"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color w:val="000000"/>
                <w:sz w:val="15"/>
                <w:szCs w:val="15"/>
              </w:rPr>
            </w:pPr>
          </w:p>
        </w:tc>
        <w:tc>
          <w:tcPr>
            <w:tcW w:w="516" w:type="pct"/>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center"/>
              <w:rPr>
                <w:rFonts w:hint="eastAsia" w:ascii="仿宋" w:hAnsi="仿宋" w:eastAsia="仿宋" w:cs="仿宋"/>
                <w:color w:val="000000"/>
                <w:sz w:val="15"/>
                <w:szCs w:val="15"/>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23" w:hRule="atLeast"/>
        </w:trPr>
        <w:tc>
          <w:tcPr>
            <w:tcW w:w="196"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b/>
                <w:bCs/>
                <w:color w:val="000000"/>
                <w:sz w:val="15"/>
                <w:szCs w:val="15"/>
              </w:rPr>
            </w:pPr>
            <w:r>
              <w:rPr>
                <w:rFonts w:hint="eastAsia" w:ascii="仿宋" w:hAnsi="仿宋" w:eastAsia="仿宋" w:cs="仿宋"/>
                <w:b/>
                <w:bCs/>
                <w:color w:val="000000"/>
                <w:kern w:val="0"/>
                <w:sz w:val="15"/>
                <w:szCs w:val="15"/>
                <w:lang w:bidi="ar"/>
              </w:rPr>
              <w:t>合计</w:t>
            </w:r>
          </w:p>
        </w:tc>
        <w:tc>
          <w:tcPr>
            <w:tcW w:w="370"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b/>
                <w:bCs/>
                <w:color w:val="000000"/>
                <w:sz w:val="15"/>
                <w:szCs w:val="15"/>
              </w:rPr>
            </w:pPr>
          </w:p>
        </w:tc>
        <w:tc>
          <w:tcPr>
            <w:tcW w:w="1946"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b/>
                <w:bCs/>
                <w:color w:val="000000"/>
                <w:sz w:val="15"/>
                <w:szCs w:val="15"/>
              </w:rPr>
            </w:pPr>
          </w:p>
        </w:tc>
        <w:tc>
          <w:tcPr>
            <w:tcW w:w="694"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b/>
                <w:bCs/>
                <w:color w:val="000000"/>
                <w:sz w:val="15"/>
                <w:szCs w:val="15"/>
              </w:rPr>
            </w:pPr>
          </w:p>
        </w:tc>
        <w:tc>
          <w:tcPr>
            <w:tcW w:w="345"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textAlignment w:val="center"/>
              <w:rPr>
                <w:rFonts w:hint="eastAsia" w:ascii="仿宋" w:hAnsi="仿宋" w:eastAsia="仿宋" w:cs="仿宋"/>
                <w:b w:val="0"/>
                <w:bCs w:val="0"/>
                <w:color w:val="000000"/>
                <w:kern w:val="0"/>
                <w:sz w:val="15"/>
                <w:szCs w:val="15"/>
                <w:lang w:bidi="ar"/>
              </w:rPr>
            </w:pPr>
            <w:r>
              <w:rPr>
                <w:rFonts w:hint="eastAsia" w:ascii="仿宋" w:hAnsi="仿宋" w:eastAsia="仿宋" w:cs="仿宋"/>
                <w:b w:val="0"/>
                <w:bCs w:val="0"/>
                <w:color w:val="000000"/>
                <w:kern w:val="0"/>
                <w:sz w:val="15"/>
                <w:szCs w:val="15"/>
                <w:lang w:bidi="ar"/>
              </w:rPr>
              <w:t>1</w:t>
            </w:r>
            <w:r>
              <w:rPr>
                <w:rFonts w:hint="eastAsia" w:ascii="仿宋" w:hAnsi="仿宋" w:eastAsia="仿宋" w:cs="仿宋"/>
                <w:b w:val="0"/>
                <w:bCs w:val="0"/>
                <w:color w:val="000000"/>
                <w:kern w:val="0"/>
                <w:sz w:val="15"/>
                <w:szCs w:val="15"/>
                <w:lang w:val="en-US" w:eastAsia="zh-CN" w:bidi="ar"/>
              </w:rPr>
              <w:t>66</w:t>
            </w:r>
            <w:r>
              <w:rPr>
                <w:rFonts w:hint="eastAsia" w:ascii="仿宋" w:hAnsi="仿宋" w:eastAsia="仿宋" w:cs="仿宋"/>
                <w:b w:val="0"/>
                <w:bCs w:val="0"/>
                <w:color w:val="000000"/>
                <w:kern w:val="0"/>
                <w:sz w:val="15"/>
                <w:szCs w:val="15"/>
                <w:lang w:bidi="ar"/>
              </w:rPr>
              <w:t>,678</w:t>
            </w:r>
          </w:p>
        </w:tc>
        <w:tc>
          <w:tcPr>
            <w:tcW w:w="258"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b/>
                <w:bCs/>
                <w:color w:val="000000"/>
                <w:sz w:val="15"/>
                <w:szCs w:val="15"/>
              </w:rPr>
            </w:pPr>
          </w:p>
        </w:tc>
        <w:tc>
          <w:tcPr>
            <w:tcW w:w="671"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b/>
                <w:bCs/>
                <w:color w:val="000000"/>
                <w:sz w:val="15"/>
                <w:szCs w:val="15"/>
              </w:rPr>
            </w:pPr>
          </w:p>
        </w:tc>
        <w:tc>
          <w:tcPr>
            <w:tcW w:w="516" w:type="pct"/>
            <w:tcBorders>
              <w:top w:val="single" w:color="4BACC6" w:sz="8" w:space="0"/>
              <w:left w:val="single" w:color="4BACC6" w:sz="8" w:space="0"/>
              <w:bottom w:val="single" w:color="4BACC6" w:sz="8" w:space="0"/>
              <w:right w:val="single" w:color="4BACC6" w:sz="8" w:space="0"/>
            </w:tcBorders>
            <w:shd w:val="clear" w:color="auto" w:fill="FFFFFF"/>
            <w:noWrap w:val="0"/>
            <w:vAlign w:val="center"/>
          </w:tcPr>
          <w:p>
            <w:pPr>
              <w:widowControl/>
              <w:spacing w:line="0" w:lineRule="atLeast"/>
              <w:jc w:val="center"/>
              <w:rPr>
                <w:rFonts w:hint="eastAsia" w:ascii="仿宋" w:hAnsi="仿宋" w:eastAsia="仿宋" w:cs="仿宋"/>
                <w:b/>
                <w:bCs/>
                <w:color w:val="000000"/>
                <w:sz w:val="15"/>
                <w:szCs w:val="15"/>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23" w:hRule="atLeast"/>
        </w:trPr>
        <w:tc>
          <w:tcPr>
            <w:tcW w:w="5000" w:type="pct"/>
            <w:gridSpan w:val="8"/>
            <w:tcBorders>
              <w:top w:val="single" w:color="4BACC6" w:sz="8" w:space="0"/>
              <w:left w:val="single" w:color="4BACC6" w:sz="8" w:space="0"/>
              <w:bottom w:val="single" w:color="4BACC6" w:sz="8" w:space="0"/>
              <w:right w:val="single" w:color="4BACC6" w:sz="8" w:space="0"/>
            </w:tcBorders>
            <w:shd w:val="clear" w:color="auto" w:fill="B7DDE8"/>
            <w:noWrap w:val="0"/>
            <w:vAlign w:val="center"/>
          </w:tcPr>
          <w:p>
            <w:pPr>
              <w:widowControl/>
              <w:spacing w:line="0" w:lineRule="atLeast"/>
              <w:jc w:val="left"/>
              <w:rPr>
                <w:rFonts w:ascii="仿宋" w:hAnsi="仿宋" w:eastAsia="仿宋" w:cs="仿宋"/>
                <w:b/>
                <w:bCs/>
                <w:color w:val="000000"/>
                <w:sz w:val="15"/>
                <w:szCs w:val="15"/>
              </w:rPr>
            </w:pPr>
            <w:r>
              <w:rPr>
                <w:rFonts w:hint="eastAsia" w:ascii="仿宋" w:hAnsi="仿宋" w:eastAsia="仿宋" w:cs="仿宋"/>
                <w:b/>
                <w:bCs/>
                <w:color w:val="000000"/>
                <w:sz w:val="15"/>
                <w:szCs w:val="15"/>
              </w:rPr>
              <w:t>备注：按项目面积500亩计算，则为</w:t>
            </w:r>
            <w:r>
              <w:rPr>
                <w:rFonts w:hint="eastAsia" w:ascii="仿宋" w:hAnsi="仿宋" w:eastAsia="仿宋" w:cs="仿宋"/>
                <w:b/>
                <w:bCs/>
                <w:color w:val="000000"/>
                <w:sz w:val="15"/>
                <w:szCs w:val="15"/>
                <w:lang w:eastAsia="zh-CN"/>
              </w:rPr>
              <w:t>3</w:t>
            </w:r>
            <w:r>
              <w:rPr>
                <w:rFonts w:hint="eastAsia" w:ascii="仿宋" w:hAnsi="仿宋" w:eastAsia="仿宋" w:cs="仿宋"/>
                <w:b/>
                <w:bCs/>
                <w:color w:val="000000"/>
                <w:sz w:val="15"/>
                <w:szCs w:val="15"/>
                <w:lang w:val="en-US" w:eastAsia="zh-CN"/>
              </w:rPr>
              <w:t>33</w:t>
            </w:r>
            <w:r>
              <w:rPr>
                <w:rFonts w:hint="eastAsia" w:ascii="仿宋" w:hAnsi="仿宋" w:eastAsia="仿宋" w:cs="仿宋"/>
                <w:b/>
                <w:bCs/>
                <w:color w:val="000000"/>
                <w:sz w:val="15"/>
                <w:szCs w:val="15"/>
              </w:rPr>
              <w:t>元/亩</w:t>
            </w:r>
          </w:p>
        </w:tc>
      </w:tr>
    </w:tbl>
    <w:p>
      <w:pPr>
        <w:spacing w:line="360" w:lineRule="auto"/>
        <w:ind w:firstLine="643" w:firstLineChars="200"/>
        <w:jc w:val="left"/>
        <w:rPr>
          <w:rFonts w:hint="eastAsia" w:ascii="仿宋" w:hAnsi="仿宋" w:eastAsia="仿宋" w:cs="方正楷体_GB2312"/>
          <w:b/>
          <w:color w:val="000000"/>
          <w:sz w:val="32"/>
          <w:szCs w:val="32"/>
        </w:rPr>
        <w:sectPr>
          <w:headerReference r:id="rId8" w:type="first"/>
          <w:headerReference r:id="rId6" w:type="default"/>
          <w:footerReference r:id="rId9" w:type="default"/>
          <w:headerReference r:id="rId7" w:type="even"/>
          <w:pgSz w:w="16838" w:h="11906" w:orient="landscape"/>
          <w:pgMar w:top="1803" w:right="1440" w:bottom="1803" w:left="1440" w:header="851" w:footer="992" w:gutter="0"/>
          <w:cols w:space="720" w:num="1"/>
          <w:docGrid w:type="lines" w:linePitch="319" w:charSpace="0"/>
        </w:sectPr>
      </w:pPr>
    </w:p>
    <w:p>
      <w:pPr>
        <w:keepNext w:val="0"/>
        <w:keepLines w:val="0"/>
        <w:pageBreakBefore w:val="0"/>
        <w:kinsoku/>
        <w:wordWrap/>
        <w:overflowPunct/>
        <w:topLinePunct w:val="0"/>
        <w:autoSpaceDE/>
        <w:autoSpaceDN/>
        <w:bidi w:val="0"/>
        <w:adjustRightInd/>
        <w:snapToGrid/>
        <w:spacing w:line="560" w:lineRule="exact"/>
        <w:ind w:firstLine="482" w:firstLineChars="200"/>
        <w:jc w:val="left"/>
        <w:textAlignment w:val="auto"/>
        <w:rPr>
          <w:rFonts w:ascii="仿宋" w:hAnsi="仿宋" w:eastAsia="仿宋" w:cs="楷体"/>
          <w:b/>
          <w:sz w:val="24"/>
        </w:rPr>
      </w:pPr>
      <w:r>
        <w:rPr>
          <w:rFonts w:hint="eastAsia" w:ascii="仿宋" w:hAnsi="仿宋" w:eastAsia="仿宋" w:cs="楷体"/>
          <w:b/>
          <w:sz w:val="24"/>
          <w:lang w:val="en-US" w:eastAsia="zh-CN"/>
        </w:rPr>
        <w:t>13</w:t>
      </w:r>
      <w:r>
        <w:rPr>
          <w:rFonts w:hint="eastAsia" w:ascii="仿宋" w:hAnsi="仿宋" w:eastAsia="仿宋" w:cs="楷体"/>
          <w:b/>
          <w:sz w:val="24"/>
        </w:rPr>
        <w:t>、成本测算结果验证</w:t>
      </w:r>
    </w:p>
    <w:p>
      <w:pPr>
        <w:keepNext w:val="0"/>
        <w:keepLines w:val="0"/>
        <w:pageBreakBefore w:val="0"/>
        <w:kinsoku/>
        <w:wordWrap/>
        <w:overflowPunct/>
        <w:topLinePunct w:val="0"/>
        <w:autoSpaceDE/>
        <w:autoSpaceDN/>
        <w:bidi w:val="0"/>
        <w:adjustRightInd/>
        <w:snapToGrid/>
        <w:spacing w:line="560" w:lineRule="exact"/>
        <w:ind w:firstLine="480" w:firstLineChars="200"/>
        <w:jc w:val="left"/>
        <w:textAlignment w:val="auto"/>
        <w:rPr>
          <w:rFonts w:ascii="仿宋" w:hAnsi="仿宋" w:eastAsia="仿宋" w:cs="楷体"/>
          <w:bCs/>
          <w:sz w:val="24"/>
        </w:rPr>
      </w:pPr>
      <w:r>
        <w:rPr>
          <w:rFonts w:hint="eastAsia" w:ascii="仿宋" w:hAnsi="仿宋" w:eastAsia="仿宋" w:cs="方正楷体_GB2312"/>
          <w:bCs/>
          <w:color w:val="000000"/>
          <w:sz w:val="24"/>
        </w:rPr>
        <w:t>通过上表的测算可知，一个500亩项目的土地征收</w:t>
      </w:r>
      <w:r>
        <w:rPr>
          <w:rFonts w:hint="eastAsia" w:ascii="仿宋" w:hAnsi="仿宋" w:eastAsia="仿宋" w:cs="楷体"/>
          <w:bCs/>
          <w:sz w:val="24"/>
        </w:rPr>
        <w:t>社会稳定风险评估的服务成本为1</w:t>
      </w:r>
      <w:r>
        <w:rPr>
          <w:rFonts w:hint="eastAsia" w:ascii="仿宋" w:hAnsi="仿宋" w:eastAsia="仿宋" w:cs="楷体"/>
          <w:bCs/>
          <w:sz w:val="24"/>
          <w:lang w:val="en-US" w:eastAsia="zh-CN"/>
        </w:rPr>
        <w:t>66</w:t>
      </w:r>
      <w:r>
        <w:rPr>
          <w:rFonts w:hint="eastAsia" w:ascii="仿宋" w:hAnsi="仿宋" w:eastAsia="仿宋" w:cs="楷体"/>
          <w:bCs/>
          <w:sz w:val="24"/>
        </w:rPr>
        <w:t>,678元（折合</w:t>
      </w:r>
      <w:r>
        <w:rPr>
          <w:rFonts w:hint="eastAsia" w:ascii="仿宋" w:hAnsi="仿宋" w:eastAsia="仿宋" w:cs="楷体"/>
          <w:bCs/>
          <w:sz w:val="24"/>
          <w:lang w:val="en-US" w:eastAsia="zh-CN"/>
        </w:rPr>
        <w:t>333</w:t>
      </w:r>
      <w:r>
        <w:rPr>
          <w:rFonts w:hint="eastAsia" w:ascii="仿宋" w:hAnsi="仿宋" w:eastAsia="仿宋" w:cs="楷体"/>
          <w:bCs/>
          <w:sz w:val="24"/>
        </w:rPr>
        <w:t>元/亩），此测算成果验证如下：</w:t>
      </w:r>
    </w:p>
    <w:p>
      <w:pPr>
        <w:keepNext w:val="0"/>
        <w:keepLines w:val="0"/>
        <w:pageBreakBefore w:val="0"/>
        <w:kinsoku/>
        <w:wordWrap/>
        <w:overflowPunct/>
        <w:topLinePunct w:val="0"/>
        <w:autoSpaceDE/>
        <w:autoSpaceDN/>
        <w:bidi w:val="0"/>
        <w:adjustRightInd/>
        <w:snapToGrid/>
        <w:spacing w:line="560" w:lineRule="exact"/>
        <w:ind w:firstLine="480" w:firstLineChars="200"/>
        <w:jc w:val="left"/>
        <w:textAlignment w:val="auto"/>
        <w:rPr>
          <w:rFonts w:ascii="仿宋" w:hAnsi="仿宋" w:eastAsia="仿宋" w:cs="楷体"/>
          <w:bCs/>
          <w:sz w:val="24"/>
        </w:rPr>
      </w:pPr>
      <w:r>
        <w:rPr>
          <w:rFonts w:hint="eastAsia" w:ascii="仿宋" w:hAnsi="仿宋" w:eastAsia="仿宋" w:cs="楷体"/>
          <w:bCs/>
          <w:sz w:val="24"/>
        </w:rPr>
        <w:t>（1）成本占比与调研数据吻合</w:t>
      </w:r>
    </w:p>
    <w:p>
      <w:pPr>
        <w:keepNext w:val="0"/>
        <w:keepLines w:val="0"/>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楷体"/>
          <w:bCs/>
          <w:sz w:val="24"/>
        </w:rPr>
      </w:pPr>
      <w:r>
        <w:rPr>
          <w:rFonts w:hint="eastAsia" w:ascii="仿宋" w:hAnsi="仿宋" w:eastAsia="仿宋" w:cs="楷体"/>
          <w:bCs/>
          <w:sz w:val="24"/>
        </w:rPr>
        <w:t>通过上表可知，开展民意调查成本费用最高，占总费用的44.</w:t>
      </w:r>
      <w:r>
        <w:rPr>
          <w:rFonts w:hint="eastAsia" w:ascii="仿宋" w:hAnsi="仿宋" w:eastAsia="仿宋" w:cs="楷体"/>
          <w:bCs/>
          <w:sz w:val="24"/>
          <w:lang w:val="en-US" w:eastAsia="zh-CN"/>
        </w:rPr>
        <w:t>03</w:t>
      </w:r>
      <w:r>
        <w:rPr>
          <w:rFonts w:hint="eastAsia" w:ascii="仿宋" w:hAnsi="仿宋" w:eastAsia="仿宋" w:cs="楷体"/>
          <w:bCs/>
          <w:sz w:val="24"/>
        </w:rPr>
        <w:t>%；其次为专家费及公司管理费用，约占总费用的</w:t>
      </w:r>
      <w:r>
        <w:rPr>
          <w:rFonts w:hint="eastAsia" w:ascii="仿宋" w:hAnsi="仿宋" w:eastAsia="仿宋" w:cs="楷体"/>
          <w:bCs/>
          <w:sz w:val="24"/>
          <w:lang w:val="en-US" w:eastAsia="zh-CN"/>
        </w:rPr>
        <w:t>10.2</w:t>
      </w:r>
      <w:r>
        <w:rPr>
          <w:rFonts w:hint="eastAsia" w:ascii="仿宋" w:hAnsi="仿宋" w:eastAsia="仿宋" w:cs="楷体"/>
          <w:bCs/>
          <w:sz w:val="24"/>
        </w:rPr>
        <w:t>%左右，此数据基本与本次调研的成本占比数据吻合。</w:t>
      </w:r>
    </w:p>
    <w:p>
      <w:pPr>
        <w:keepNext w:val="0"/>
        <w:keepLines w:val="0"/>
        <w:pageBreakBefore w:val="0"/>
        <w:kinsoku/>
        <w:wordWrap/>
        <w:overflowPunct/>
        <w:topLinePunct w:val="0"/>
        <w:autoSpaceDE/>
        <w:autoSpaceDN/>
        <w:bidi w:val="0"/>
        <w:adjustRightInd/>
        <w:snapToGrid/>
        <w:spacing w:line="560" w:lineRule="exact"/>
        <w:ind w:firstLine="480" w:firstLineChars="200"/>
        <w:jc w:val="left"/>
        <w:textAlignment w:val="auto"/>
        <w:rPr>
          <w:rFonts w:ascii="仿宋" w:hAnsi="仿宋" w:eastAsia="仿宋" w:cs="楷体"/>
          <w:bCs/>
          <w:sz w:val="24"/>
        </w:rPr>
      </w:pPr>
      <w:r>
        <w:rPr>
          <w:rFonts w:hint="eastAsia" w:ascii="仿宋" w:hAnsi="仿宋" w:eastAsia="仿宋" w:cs="楷体"/>
          <w:bCs/>
          <w:sz w:val="24"/>
        </w:rPr>
        <w:t>（2）测算结果与问卷调查的平均服务成本接近</w:t>
      </w:r>
    </w:p>
    <w:p>
      <w:pPr>
        <w:keepNext w:val="0"/>
        <w:keepLines w:val="0"/>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楷体"/>
          <w:bCs/>
          <w:sz w:val="24"/>
        </w:rPr>
      </w:pPr>
      <w:r>
        <w:rPr>
          <w:rFonts w:hint="eastAsia" w:ascii="仿宋" w:hAnsi="仿宋" w:eastAsia="仿宋" w:cs="楷体"/>
          <w:bCs/>
          <w:sz w:val="24"/>
        </w:rPr>
        <w:t>通过专题调研报告一可知我们对省内37家机构进行了问卷调查，统计分析出37家机构针对</w:t>
      </w:r>
      <w:r>
        <w:rPr>
          <w:rFonts w:hint="eastAsia" w:ascii="仿宋" w:hAnsi="仿宋" w:eastAsia="仿宋" w:cs="方正楷体_GB2312"/>
          <w:bCs/>
          <w:color w:val="000000"/>
          <w:sz w:val="24"/>
        </w:rPr>
        <w:t>一个500亩项目上报的土地征收</w:t>
      </w:r>
      <w:r>
        <w:rPr>
          <w:rFonts w:hint="eastAsia" w:ascii="仿宋" w:hAnsi="仿宋" w:eastAsia="仿宋" w:cs="楷体"/>
          <w:bCs/>
          <w:sz w:val="24"/>
        </w:rPr>
        <w:t>社会稳定风险评估平均服务成本为</w:t>
      </w:r>
      <w:r>
        <w:rPr>
          <w:rFonts w:hint="eastAsia" w:ascii="仿宋" w:hAnsi="仿宋" w:eastAsia="仿宋" w:cs="楷体"/>
          <w:bCs/>
          <w:sz w:val="24"/>
          <w:lang w:val="en-US" w:eastAsia="zh-CN"/>
        </w:rPr>
        <w:t>305</w:t>
      </w:r>
      <w:r>
        <w:rPr>
          <w:rFonts w:hint="eastAsia" w:ascii="仿宋" w:hAnsi="仿宋" w:eastAsia="仿宋" w:cs="楷体"/>
          <w:bCs/>
          <w:sz w:val="24"/>
        </w:rPr>
        <w:t>元/亩。本次测算的成果3</w:t>
      </w:r>
      <w:r>
        <w:rPr>
          <w:rFonts w:hint="eastAsia" w:ascii="仿宋" w:hAnsi="仿宋" w:eastAsia="仿宋" w:cs="楷体"/>
          <w:bCs/>
          <w:sz w:val="24"/>
          <w:lang w:val="en-US" w:eastAsia="zh-CN"/>
        </w:rPr>
        <w:t>33</w:t>
      </w:r>
      <w:r>
        <w:rPr>
          <w:rFonts w:hint="eastAsia" w:ascii="仿宋" w:hAnsi="仿宋" w:eastAsia="仿宋" w:cs="楷体"/>
          <w:bCs/>
          <w:sz w:val="24"/>
        </w:rPr>
        <w:t>元/亩与问卷调查统计的平均成本</w:t>
      </w:r>
      <w:r>
        <w:rPr>
          <w:rFonts w:hint="eastAsia" w:ascii="仿宋" w:hAnsi="仿宋" w:eastAsia="仿宋" w:cs="楷体"/>
          <w:bCs/>
          <w:sz w:val="24"/>
          <w:lang w:val="en-US" w:eastAsia="zh-CN"/>
        </w:rPr>
        <w:t>305</w:t>
      </w:r>
      <w:r>
        <w:rPr>
          <w:rFonts w:hint="eastAsia" w:ascii="仿宋" w:hAnsi="仿宋" w:eastAsia="仿宋" w:cs="楷体"/>
          <w:bCs/>
          <w:sz w:val="24"/>
        </w:rPr>
        <w:t>元/亩接近，相差在10%以内，属于合理范围。</w:t>
      </w:r>
    </w:p>
    <w:p>
      <w:pPr>
        <w:keepNext w:val="0"/>
        <w:keepLines w:val="0"/>
        <w:pageBreakBefore w:val="0"/>
        <w:kinsoku/>
        <w:wordWrap/>
        <w:overflowPunct/>
        <w:topLinePunct w:val="0"/>
        <w:autoSpaceDE/>
        <w:autoSpaceDN/>
        <w:bidi w:val="0"/>
        <w:adjustRightInd/>
        <w:snapToGrid/>
        <w:spacing w:line="560" w:lineRule="exact"/>
        <w:ind w:firstLine="480" w:firstLineChars="200"/>
        <w:jc w:val="left"/>
        <w:textAlignment w:val="auto"/>
        <w:rPr>
          <w:rFonts w:ascii="仿宋" w:hAnsi="仿宋" w:eastAsia="仿宋" w:cs="楷体"/>
          <w:bCs/>
          <w:sz w:val="24"/>
        </w:rPr>
      </w:pPr>
      <w:r>
        <w:rPr>
          <w:rFonts w:hint="eastAsia" w:ascii="仿宋" w:hAnsi="仿宋" w:eastAsia="仿宋" w:cs="楷体"/>
          <w:bCs/>
          <w:sz w:val="24"/>
        </w:rPr>
        <w:t>（3）测算结果与市场收费情况吻合</w:t>
      </w:r>
    </w:p>
    <w:p>
      <w:pPr>
        <w:keepNext w:val="0"/>
        <w:keepLines w:val="0"/>
        <w:pageBreakBefore w:val="0"/>
        <w:kinsoku/>
        <w:wordWrap/>
        <w:overflowPunct/>
        <w:topLinePunct w:val="0"/>
        <w:autoSpaceDE/>
        <w:autoSpaceDN/>
        <w:bidi w:val="0"/>
        <w:adjustRightInd/>
        <w:snapToGrid/>
        <w:spacing w:line="560" w:lineRule="exact"/>
        <w:ind w:firstLine="480" w:firstLineChars="200"/>
        <w:jc w:val="left"/>
        <w:textAlignment w:val="auto"/>
        <w:rPr>
          <w:rFonts w:ascii="仿宋" w:hAnsi="仿宋" w:eastAsia="仿宋" w:cs="方正楷体_GB2312"/>
          <w:b/>
          <w:color w:val="000000"/>
          <w:sz w:val="24"/>
        </w:rPr>
      </w:pPr>
      <w:r>
        <w:rPr>
          <w:rFonts w:hint="eastAsia" w:ascii="仿宋" w:hAnsi="仿宋" w:eastAsia="仿宋" w:cs="方正楷体_GB2312"/>
          <w:bCs/>
          <w:color w:val="000000"/>
          <w:sz w:val="24"/>
        </w:rPr>
        <w:t>通过调研可知，江西省土地征收社会稳定风险评估目前未有统一收费标准，主要根据市场行情及工作的难易程度进行取费，各地市、县区都存在较大的差异，</w:t>
      </w:r>
      <w:r>
        <w:rPr>
          <w:rFonts w:hint="eastAsia" w:ascii="仿宋" w:hAnsi="仿宋" w:eastAsia="仿宋" w:cs="楷体"/>
          <w:bCs/>
          <w:sz w:val="24"/>
        </w:rPr>
        <w:t>存在按亩收费、按项目收费及按年收费等几种形式，其中按亩收费主要集中在350-450元/亩。本次算的成果</w:t>
      </w:r>
      <w:r>
        <w:rPr>
          <w:rFonts w:hint="eastAsia" w:ascii="仿宋" w:hAnsi="仿宋" w:eastAsia="仿宋" w:cs="楷体"/>
          <w:bCs/>
          <w:sz w:val="24"/>
          <w:lang w:val="en-US" w:eastAsia="zh-CN"/>
        </w:rPr>
        <w:t>333</w:t>
      </w:r>
      <w:r>
        <w:rPr>
          <w:rFonts w:hint="eastAsia" w:ascii="仿宋" w:hAnsi="仿宋" w:eastAsia="仿宋" w:cs="楷体"/>
          <w:bCs/>
          <w:sz w:val="24"/>
        </w:rPr>
        <w:t>元/亩与市场上按亩收费的价格吻合。</w:t>
      </w:r>
    </w:p>
    <w:p>
      <w:pPr>
        <w:keepNext w:val="0"/>
        <w:keepLines w:val="0"/>
        <w:pageBreakBefore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sz w:val="24"/>
        </w:rPr>
      </w:pPr>
      <w:r>
        <w:rPr>
          <w:rFonts w:hint="eastAsia" w:ascii="仿宋" w:hAnsi="仿宋" w:eastAsia="仿宋" w:cs="仿宋"/>
          <w:b/>
          <w:color w:val="000000"/>
          <w:sz w:val="24"/>
        </w:rPr>
        <w:t>（九）</w:t>
      </w:r>
      <w:r>
        <w:rPr>
          <w:rFonts w:hint="eastAsia" w:ascii="仿宋" w:hAnsi="仿宋" w:eastAsia="仿宋" w:cs="仿宋"/>
          <w:b/>
          <w:sz w:val="24"/>
        </w:rPr>
        <w:t>有关“土地征收社会稳定风险评估”的建议</w:t>
      </w:r>
    </w:p>
    <w:p>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楷体"/>
          <w:bCs/>
          <w:sz w:val="24"/>
        </w:rPr>
      </w:pPr>
      <w:r>
        <w:rPr>
          <w:rFonts w:hint="eastAsia" w:ascii="仿宋" w:hAnsi="仿宋" w:eastAsia="仿宋" w:cs="楷体"/>
          <w:bCs/>
          <w:sz w:val="24"/>
        </w:rPr>
        <w:t>1、建议规范参与土地征收社会稳定风险评估的机构，目前参与土地征收社会稳定风险评估的机构比较杂，有咨询、测绘、律师、规划、评估等公司，应当建立资质要求。</w:t>
      </w:r>
    </w:p>
    <w:p>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ascii="仿宋" w:hAnsi="仿宋" w:eastAsia="仿宋" w:cs="楷体"/>
          <w:color w:val="000000"/>
          <w:kern w:val="0"/>
          <w:sz w:val="24"/>
          <w:lang w:bidi="ar"/>
        </w:rPr>
      </w:pPr>
      <w:r>
        <w:rPr>
          <w:rFonts w:hint="eastAsia" w:ascii="仿宋" w:hAnsi="仿宋" w:eastAsia="仿宋" w:cs="楷体"/>
          <w:bCs/>
          <w:sz w:val="24"/>
        </w:rPr>
        <w:t>2、</w:t>
      </w:r>
      <w:r>
        <w:rPr>
          <w:rFonts w:hint="eastAsia" w:ascii="仿宋" w:hAnsi="仿宋" w:eastAsia="仿宋" w:cs="楷体"/>
          <w:color w:val="000000"/>
          <w:kern w:val="0"/>
          <w:sz w:val="24"/>
          <w:lang w:bidi="ar"/>
        </w:rPr>
        <w:t>建议出台土地征收社会稳定风险评估技术规范，有具体的操作流程，有固定的报告版式，并能符合政法委的审查。</w:t>
      </w:r>
    </w:p>
    <w:p>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ascii="仿宋" w:hAnsi="仿宋" w:eastAsia="仿宋" w:cs="楷体"/>
          <w:bCs/>
          <w:sz w:val="24"/>
        </w:rPr>
      </w:pPr>
      <w:r>
        <w:rPr>
          <w:rFonts w:hint="eastAsia" w:ascii="仿宋" w:hAnsi="仿宋" w:eastAsia="仿宋" w:cs="楷体"/>
          <w:color w:val="000000"/>
          <w:kern w:val="0"/>
          <w:sz w:val="24"/>
          <w:lang w:bidi="ar"/>
        </w:rPr>
        <w:t>3、建议出台土地征收社会稳定风险评估收费指导意见，让收费有据可依，方便向主管部门及财政汇报，也能经得起审计的检查。</w:t>
      </w:r>
    </w:p>
    <w:p>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 w:hAnsi="仿宋" w:eastAsia="仿宋" w:cs="楷体"/>
          <w:bCs/>
          <w:sz w:val="24"/>
        </w:rPr>
      </w:pPr>
      <w:r>
        <w:rPr>
          <w:rFonts w:hint="eastAsia" w:ascii="仿宋" w:hAnsi="仿宋" w:eastAsia="仿宋" w:cs="楷体"/>
          <w:bCs/>
          <w:sz w:val="24"/>
        </w:rPr>
        <w:t>4、土地征收社会稳定风险评估服务成本可从两方面来计算，一是基本的费用，即所有土地征收社会稳定风险评估必须的工作内容的成本；二是量化费用，根据项目大小需要涉及的调查样本的数量，另行计算成本。</w:t>
      </w:r>
    </w:p>
    <w:p>
      <w:pPr>
        <w:keepNext w:val="0"/>
        <w:keepLines w:val="0"/>
        <w:pageBreakBefore w:val="0"/>
        <w:kinsoku/>
        <w:wordWrap/>
        <w:overflowPunct/>
        <w:topLinePunct w:val="0"/>
        <w:autoSpaceDE/>
        <w:autoSpaceDN/>
        <w:bidi w:val="0"/>
        <w:adjustRightInd/>
        <w:snapToGrid/>
        <w:spacing w:line="560" w:lineRule="exact"/>
        <w:ind w:firstLine="482" w:firstLineChars="200"/>
        <w:jc w:val="left"/>
        <w:textAlignment w:val="auto"/>
        <w:rPr>
          <w:rFonts w:hint="eastAsia" w:ascii="仿宋" w:hAnsi="仿宋" w:eastAsia="仿宋" w:cs="方正楷体_GB2312"/>
          <w:bCs/>
          <w:color w:val="000000"/>
          <w:sz w:val="24"/>
        </w:rPr>
      </w:pPr>
      <w:r>
        <w:rPr>
          <w:rFonts w:hint="eastAsia" w:ascii="仿宋" w:hAnsi="仿宋" w:eastAsia="仿宋" w:cs="方正楷体_GB2312"/>
          <w:b/>
          <w:color w:val="000000"/>
          <w:sz w:val="24"/>
          <w:lang w:val="en-US" w:eastAsia="zh-CN"/>
        </w:rPr>
        <w:t>四、</w:t>
      </w:r>
      <w:r>
        <w:rPr>
          <w:rFonts w:hint="eastAsia" w:ascii="仿宋" w:hAnsi="仿宋" w:eastAsia="仿宋" w:cs="方正楷体_GB2312"/>
          <w:b/>
          <w:color w:val="000000"/>
          <w:sz w:val="24"/>
        </w:rPr>
        <w:t>调研结论</w:t>
      </w:r>
    </w:p>
    <w:p>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ascii="仿宋" w:hAnsi="仿宋" w:eastAsia="仿宋" w:cs="方正楷体_GB2312"/>
          <w:bCs/>
          <w:color w:val="000000"/>
          <w:sz w:val="24"/>
        </w:rPr>
      </w:pPr>
      <w:r>
        <w:rPr>
          <w:rFonts w:hint="eastAsia" w:ascii="仿宋" w:hAnsi="仿宋" w:eastAsia="仿宋" w:cs="仿宋"/>
          <w:bCs/>
          <w:color w:val="000000"/>
          <w:sz w:val="24"/>
        </w:rPr>
        <w:t>根据上述调研可知，目前</w:t>
      </w:r>
      <w:r>
        <w:rPr>
          <w:rFonts w:hint="eastAsia" w:ascii="仿宋" w:hAnsi="仿宋" w:eastAsia="仿宋" w:cs="方正楷体_GB2312"/>
          <w:bCs/>
          <w:color w:val="000000"/>
          <w:sz w:val="24"/>
        </w:rPr>
        <w:t>江西省土地征收</w:t>
      </w:r>
      <w:r>
        <w:rPr>
          <w:rFonts w:hint="eastAsia" w:ascii="仿宋" w:hAnsi="仿宋" w:eastAsia="仿宋" w:cs="楷体"/>
          <w:bCs/>
          <w:sz w:val="24"/>
        </w:rPr>
        <w:t>社会稳定风险评估收费</w:t>
      </w:r>
      <w:r>
        <w:rPr>
          <w:rFonts w:hint="eastAsia" w:ascii="仿宋" w:hAnsi="仿宋" w:eastAsia="仿宋" w:cs="方正楷体_GB2312"/>
          <w:bCs/>
          <w:color w:val="000000"/>
          <w:sz w:val="24"/>
        </w:rPr>
        <w:t>各地市、县区都存在较大的差异，有按亩收费、按项目收费、按年收费等不同的形式。</w:t>
      </w:r>
    </w:p>
    <w:p>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ascii="仿宋" w:hAnsi="仿宋" w:eastAsia="仿宋" w:cs="楷体"/>
          <w:bCs/>
          <w:sz w:val="24"/>
        </w:rPr>
      </w:pPr>
      <w:r>
        <w:rPr>
          <w:rFonts w:hint="eastAsia" w:ascii="仿宋" w:hAnsi="仿宋" w:eastAsia="仿宋" w:cs="方正楷体_GB2312"/>
          <w:bCs/>
          <w:color w:val="000000"/>
          <w:sz w:val="24"/>
        </w:rPr>
        <w:t>为确保江西省土地征收</w:t>
      </w:r>
      <w:r>
        <w:rPr>
          <w:rFonts w:hint="eastAsia" w:ascii="仿宋" w:hAnsi="仿宋" w:eastAsia="仿宋" w:cs="楷体"/>
          <w:bCs/>
          <w:sz w:val="24"/>
        </w:rPr>
        <w:t>社会稳定风险评估服务能够保质保量的完成，让评估机构出具的风险评估报告能够真正的服务于行政主管部门，为行政主管部门</w:t>
      </w:r>
      <w:r>
        <w:rPr>
          <w:rFonts w:hint="eastAsia" w:ascii="仿宋" w:hAnsi="仿宋" w:eastAsia="仿宋" w:cs="方正楷体_GB2312"/>
          <w:bCs/>
          <w:color w:val="000000"/>
          <w:sz w:val="24"/>
        </w:rPr>
        <w:t>创建和谐稳定的土地征收社会环境、切实从源头上预防和减少土地征收领域影响社会稳定的矛盾隐患提供有效的保障，结合上述</w:t>
      </w:r>
      <w:r>
        <w:rPr>
          <w:rFonts w:hint="eastAsia" w:ascii="仿宋" w:hAnsi="仿宋" w:eastAsia="仿宋" w:cs="楷体"/>
          <w:bCs/>
          <w:sz w:val="24"/>
        </w:rPr>
        <w:t>成本的测算确定</w:t>
      </w:r>
      <w:r>
        <w:rPr>
          <w:rFonts w:hint="eastAsia" w:ascii="仿宋" w:hAnsi="仿宋" w:eastAsia="仿宋" w:cs="方正楷体_GB2312"/>
          <w:bCs/>
          <w:color w:val="000000"/>
          <w:sz w:val="24"/>
        </w:rPr>
        <w:t>江西省土地征收</w:t>
      </w:r>
      <w:r>
        <w:rPr>
          <w:rFonts w:hint="eastAsia" w:ascii="仿宋" w:hAnsi="仿宋" w:eastAsia="仿宋" w:cs="楷体"/>
          <w:bCs/>
          <w:sz w:val="24"/>
        </w:rPr>
        <w:t>社会稳定风险评估服务成本如下：</w:t>
      </w:r>
    </w:p>
    <w:p>
      <w:pPr>
        <w:spacing w:line="360" w:lineRule="auto"/>
        <w:jc w:val="center"/>
        <w:rPr>
          <w:rFonts w:hint="default" w:ascii="仿宋" w:hAnsi="仿宋" w:eastAsia="仿宋" w:cs="仿宋"/>
          <w:b/>
          <w:color w:val="000000"/>
          <w:sz w:val="24"/>
          <w:lang w:val="en-US" w:eastAsia="zh-CN"/>
        </w:rPr>
      </w:pPr>
      <w:r>
        <w:rPr>
          <w:rFonts w:hint="eastAsia" w:ascii="仿宋" w:hAnsi="仿宋" w:eastAsia="仿宋" w:cs="仿宋"/>
          <w:b/>
          <w:color w:val="000000"/>
          <w:sz w:val="24"/>
        </w:rPr>
        <w:t xml:space="preserve"> </w:t>
      </w:r>
      <w:r>
        <w:rPr>
          <w:rFonts w:ascii="仿宋" w:hAnsi="仿宋" w:eastAsia="仿宋" w:cs="仿宋"/>
          <w:b/>
          <w:color w:val="000000"/>
          <w:sz w:val="24"/>
        </w:rPr>
        <w:t xml:space="preserve">          </w:t>
      </w:r>
      <w:r>
        <w:rPr>
          <w:rFonts w:hint="eastAsia" w:ascii="仿宋" w:hAnsi="仿宋" w:eastAsia="仿宋" w:cs="仿宋"/>
          <w:b/>
          <w:color w:val="000000"/>
          <w:sz w:val="24"/>
        </w:rPr>
        <w:t>土地征收社会稳定风险评估</w:t>
      </w:r>
      <w:r>
        <w:rPr>
          <w:rFonts w:hint="eastAsia" w:ascii="仿宋" w:hAnsi="仿宋" w:eastAsia="仿宋" w:cs="仿宋"/>
          <w:b/>
          <w:color w:val="000000"/>
          <w:sz w:val="24"/>
          <w:lang w:val="en-US" w:eastAsia="zh-CN"/>
        </w:rPr>
        <w:t>服务</w:t>
      </w:r>
      <w:r>
        <w:rPr>
          <w:rFonts w:hint="eastAsia" w:ascii="仿宋" w:hAnsi="仿宋" w:eastAsia="仿宋" w:cs="仿宋"/>
          <w:b/>
          <w:color w:val="000000"/>
          <w:sz w:val="24"/>
        </w:rPr>
        <w:t xml:space="preserve">成本价 </w:t>
      </w:r>
      <w:r>
        <w:rPr>
          <w:rFonts w:ascii="仿宋" w:hAnsi="仿宋" w:eastAsia="仿宋" w:cs="仿宋"/>
          <w:b/>
          <w:color w:val="000000"/>
          <w:sz w:val="24"/>
        </w:rPr>
        <w:t xml:space="preserve">         </w:t>
      </w:r>
      <w:r>
        <w:rPr>
          <w:rFonts w:hint="eastAsia" w:ascii="仿宋" w:hAnsi="仿宋" w:eastAsia="仿宋" w:cs="仿宋"/>
          <w:b/>
          <w:color w:val="000000"/>
          <w:sz w:val="24"/>
        </w:rPr>
        <w:t>表</w:t>
      </w:r>
      <w:r>
        <w:rPr>
          <w:rFonts w:hint="eastAsia" w:ascii="仿宋" w:hAnsi="仿宋" w:eastAsia="仿宋" w:cs="仿宋"/>
          <w:b/>
          <w:color w:val="000000"/>
          <w:sz w:val="24"/>
          <w:lang w:val="en-US" w:eastAsia="zh-CN"/>
        </w:rPr>
        <w:t>10</w:t>
      </w:r>
    </w:p>
    <w:tbl>
      <w:tblPr>
        <w:tblStyle w:val="6"/>
        <w:tblW w:w="76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261"/>
        <w:gridCol w:w="3321"/>
        <w:gridCol w:w="10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3261" w:type="dxa"/>
            <w:tcBorders>
              <w:tl2br w:val="nil"/>
              <w:tr2bl w:val="nil"/>
            </w:tcBorders>
            <w:shd w:val="clear" w:color="auto" w:fill="B8CCE4"/>
            <w:noWrap w:val="0"/>
            <w:vAlign w:val="center"/>
          </w:tcPr>
          <w:p>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b/>
                <w:bCs/>
                <w:i w:val="0"/>
                <w:iCs w:val="0"/>
                <w:caps w:val="0"/>
                <w:color w:val="000000"/>
                <w:spacing w:val="0"/>
                <w:kern w:val="2"/>
                <w:sz w:val="21"/>
                <w:szCs w:val="21"/>
                <w:lang w:val="en-US" w:eastAsia="zh-CN" w:bidi="ar-SA"/>
              </w:rPr>
            </w:pPr>
            <w:r>
              <w:rPr>
                <w:rFonts w:hint="eastAsia" w:ascii="仿宋" w:hAnsi="仿宋" w:eastAsia="仿宋" w:cs="仿宋"/>
                <w:b/>
                <w:bCs/>
                <w:i w:val="0"/>
                <w:iCs w:val="0"/>
                <w:caps w:val="0"/>
                <w:color w:val="000000"/>
                <w:spacing w:val="0"/>
                <w:kern w:val="0"/>
                <w:sz w:val="21"/>
                <w:szCs w:val="21"/>
                <w:lang w:val="en-US" w:eastAsia="zh-CN" w:bidi="ar"/>
              </w:rPr>
              <w:t>批次报地规模</w:t>
            </w:r>
          </w:p>
        </w:tc>
        <w:tc>
          <w:tcPr>
            <w:tcW w:w="3321" w:type="dxa"/>
            <w:tcBorders>
              <w:tl2br w:val="nil"/>
              <w:tr2bl w:val="nil"/>
            </w:tcBorders>
            <w:shd w:val="clear" w:color="auto" w:fill="B8CCE4"/>
            <w:noWrap w:val="0"/>
            <w:vAlign w:val="center"/>
          </w:tcPr>
          <w:p>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b/>
                <w:bCs/>
                <w:i w:val="0"/>
                <w:iCs w:val="0"/>
                <w:caps w:val="0"/>
                <w:color w:val="000000"/>
                <w:spacing w:val="0"/>
                <w:kern w:val="2"/>
                <w:sz w:val="21"/>
                <w:szCs w:val="21"/>
                <w:lang w:val="en-US" w:eastAsia="zh-CN" w:bidi="ar-SA"/>
              </w:rPr>
            </w:pPr>
            <w:r>
              <w:rPr>
                <w:rFonts w:hint="eastAsia" w:ascii="仿宋" w:hAnsi="仿宋" w:eastAsia="仿宋" w:cs="仿宋"/>
                <w:b/>
                <w:bCs/>
                <w:i w:val="0"/>
                <w:iCs w:val="0"/>
                <w:caps w:val="0"/>
                <w:color w:val="000000"/>
                <w:spacing w:val="0"/>
                <w:sz w:val="21"/>
                <w:szCs w:val="21"/>
                <w:lang w:val="en-US" w:eastAsia="zh-CN"/>
              </w:rPr>
              <w:t>成本价</w:t>
            </w:r>
          </w:p>
        </w:tc>
        <w:tc>
          <w:tcPr>
            <w:tcW w:w="1077" w:type="dxa"/>
            <w:tcBorders>
              <w:tl2br w:val="nil"/>
              <w:tr2bl w:val="nil"/>
            </w:tcBorders>
            <w:shd w:val="clear" w:color="auto" w:fill="B8CCE4"/>
            <w:noWrap w:val="0"/>
            <w:vAlign w:val="center"/>
          </w:tcPr>
          <w:p>
            <w:pPr>
              <w:spacing w:line="360" w:lineRule="auto"/>
              <w:jc w:val="center"/>
              <w:rPr>
                <w:rFonts w:hint="default" w:ascii="仿宋" w:hAnsi="仿宋" w:eastAsia="仿宋" w:cs="楷体"/>
                <w:b/>
                <w:bCs/>
                <w:sz w:val="21"/>
                <w:szCs w:val="21"/>
                <w:vertAlign w:val="baseline"/>
                <w:lang w:val="en-US" w:eastAsia="zh-CN"/>
              </w:rPr>
            </w:pPr>
            <w:r>
              <w:rPr>
                <w:rFonts w:hint="eastAsia" w:ascii="仿宋" w:hAnsi="仿宋" w:eastAsia="仿宋" w:cs="楷体"/>
                <w:b/>
                <w:bCs/>
                <w:sz w:val="21"/>
                <w:szCs w:val="21"/>
                <w:vertAlign w:val="baseline"/>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326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i w:val="0"/>
                <w:iCs w:val="0"/>
                <w:caps w:val="0"/>
                <w:color w:val="000000"/>
                <w:spacing w:val="0"/>
                <w:kern w:val="2"/>
                <w:sz w:val="21"/>
                <w:szCs w:val="21"/>
                <w:lang w:val="en-US" w:eastAsia="zh-CN" w:bidi="ar-SA"/>
              </w:rPr>
            </w:pPr>
            <w:r>
              <w:rPr>
                <w:rFonts w:hint="eastAsia" w:ascii="仿宋" w:hAnsi="仿宋" w:eastAsia="仿宋" w:cs="仿宋"/>
                <w:i w:val="0"/>
                <w:iCs w:val="0"/>
                <w:caps w:val="0"/>
                <w:color w:val="000000"/>
                <w:spacing w:val="0"/>
                <w:kern w:val="0"/>
                <w:sz w:val="21"/>
                <w:szCs w:val="21"/>
                <w:lang w:val="en-US" w:eastAsia="zh-CN" w:bidi="ar"/>
              </w:rPr>
              <w:t>300亩（含）以下</w:t>
            </w:r>
          </w:p>
        </w:tc>
        <w:tc>
          <w:tcPr>
            <w:tcW w:w="3321" w:type="dxa"/>
            <w:tcBorders>
              <w:tl2br w:val="nil"/>
              <w:tr2bl w:val="nil"/>
            </w:tcBorders>
            <w:noWrap w:val="0"/>
            <w:vAlign w:val="center"/>
          </w:tcPr>
          <w:p>
            <w:pPr>
              <w:keepNext w:val="0"/>
              <w:keepLines w:val="0"/>
              <w:widowControl/>
              <w:suppressLineNumbers w:val="0"/>
              <w:spacing w:before="0" w:beforeAutospacing="0" w:after="0" w:afterAutospacing="0"/>
              <w:ind w:left="0" w:right="0" w:firstLine="0"/>
              <w:jc w:val="center"/>
              <w:rPr>
                <w:rFonts w:hint="eastAsia" w:ascii="仿宋" w:hAnsi="仿宋" w:eastAsia="仿宋" w:cs="仿宋"/>
                <w:i w:val="0"/>
                <w:iCs w:val="0"/>
                <w:caps w:val="0"/>
                <w:color w:val="000000"/>
                <w:spacing w:val="0"/>
                <w:kern w:val="0"/>
                <w:sz w:val="21"/>
                <w:szCs w:val="21"/>
                <w:lang w:val="en-US" w:eastAsia="zh-CN" w:bidi="ar"/>
              </w:rPr>
            </w:pPr>
            <w:r>
              <w:rPr>
                <w:rFonts w:hint="eastAsia" w:ascii="仿宋" w:hAnsi="仿宋" w:eastAsia="仿宋" w:cs="仿宋"/>
                <w:i w:val="0"/>
                <w:iCs w:val="0"/>
                <w:caps w:val="0"/>
                <w:color w:val="000000"/>
                <w:spacing w:val="0"/>
                <w:kern w:val="0"/>
                <w:sz w:val="21"/>
                <w:szCs w:val="21"/>
                <w:lang w:val="en-US" w:eastAsia="zh-CN" w:bidi="ar"/>
              </w:rPr>
              <w:t>350元/亩</w:t>
            </w:r>
          </w:p>
          <w:p>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i w:val="0"/>
                <w:iCs w:val="0"/>
                <w:caps w:val="0"/>
                <w:color w:val="000000"/>
                <w:spacing w:val="0"/>
                <w:kern w:val="2"/>
                <w:sz w:val="21"/>
                <w:szCs w:val="21"/>
                <w:lang w:val="en-US" w:eastAsia="zh-CN" w:bidi="ar-SA"/>
              </w:rPr>
            </w:pPr>
            <w:r>
              <w:rPr>
                <w:rFonts w:hint="eastAsia" w:ascii="仿宋" w:hAnsi="仿宋" w:eastAsia="仿宋" w:cs="仿宋"/>
                <w:i w:val="0"/>
                <w:iCs w:val="0"/>
                <w:caps w:val="0"/>
                <w:color w:val="000000"/>
                <w:spacing w:val="0"/>
                <w:kern w:val="0"/>
                <w:sz w:val="21"/>
                <w:szCs w:val="21"/>
                <w:lang w:val="en-US" w:eastAsia="zh-CN" w:bidi="ar"/>
              </w:rPr>
              <w:t>（总价不足3万元按3万元计）</w:t>
            </w:r>
          </w:p>
        </w:tc>
        <w:tc>
          <w:tcPr>
            <w:tcW w:w="1077" w:type="dxa"/>
            <w:vMerge w:val="restart"/>
            <w:tcBorders>
              <w:tl2br w:val="nil"/>
              <w:tr2bl w:val="nil"/>
            </w:tcBorders>
            <w:noWrap w:val="0"/>
            <w:vAlign w:val="center"/>
          </w:tcPr>
          <w:p>
            <w:pPr>
              <w:spacing w:line="360" w:lineRule="auto"/>
              <w:jc w:val="center"/>
              <w:rPr>
                <w:rFonts w:hint="eastAsia" w:ascii="仿宋" w:hAnsi="仿宋" w:eastAsia="仿宋" w:cs="楷体"/>
                <w:bCs/>
                <w:sz w:val="21"/>
                <w:szCs w:val="21"/>
                <w:vertAlign w:val="baseline"/>
                <w:lang w:val="en-US" w:eastAsia="zh-CN"/>
              </w:rPr>
            </w:pPr>
            <w:r>
              <w:rPr>
                <w:rFonts w:hint="eastAsia" w:ascii="仿宋" w:hAnsi="仿宋" w:eastAsia="仿宋" w:cs="楷体"/>
                <w:bCs/>
                <w:sz w:val="21"/>
                <w:szCs w:val="21"/>
                <w:lang w:val="en-US" w:eastAsia="zh-CN"/>
              </w:rPr>
              <w:t>超额累进制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26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i w:val="0"/>
                <w:iCs w:val="0"/>
                <w:caps w:val="0"/>
                <w:color w:val="000000"/>
                <w:spacing w:val="0"/>
                <w:kern w:val="2"/>
                <w:sz w:val="21"/>
                <w:szCs w:val="21"/>
                <w:lang w:val="en-US" w:eastAsia="zh-CN" w:bidi="ar-SA"/>
              </w:rPr>
            </w:pPr>
            <w:r>
              <w:rPr>
                <w:rFonts w:hint="eastAsia" w:ascii="仿宋" w:hAnsi="仿宋" w:eastAsia="仿宋" w:cs="仿宋"/>
                <w:i w:val="0"/>
                <w:iCs w:val="0"/>
                <w:caps w:val="0"/>
                <w:color w:val="000000"/>
                <w:spacing w:val="0"/>
                <w:kern w:val="0"/>
                <w:sz w:val="21"/>
                <w:szCs w:val="21"/>
                <w:lang w:val="en-US" w:eastAsia="zh-CN" w:bidi="ar"/>
              </w:rPr>
              <w:t>300亩-700亩（含）</w:t>
            </w:r>
          </w:p>
        </w:tc>
        <w:tc>
          <w:tcPr>
            <w:tcW w:w="332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i w:val="0"/>
                <w:iCs w:val="0"/>
                <w:caps w:val="0"/>
                <w:color w:val="000000"/>
                <w:spacing w:val="0"/>
                <w:kern w:val="2"/>
                <w:sz w:val="21"/>
                <w:szCs w:val="21"/>
                <w:lang w:val="en-US" w:eastAsia="zh-CN" w:bidi="ar-SA"/>
              </w:rPr>
            </w:pPr>
            <w:r>
              <w:rPr>
                <w:rFonts w:hint="eastAsia" w:ascii="仿宋" w:hAnsi="仿宋" w:eastAsia="仿宋" w:cs="仿宋"/>
                <w:i w:val="0"/>
                <w:iCs w:val="0"/>
                <w:caps w:val="0"/>
                <w:color w:val="000000"/>
                <w:spacing w:val="0"/>
                <w:kern w:val="0"/>
                <w:sz w:val="21"/>
                <w:szCs w:val="21"/>
                <w:lang w:val="en-US" w:eastAsia="zh-CN" w:bidi="ar"/>
              </w:rPr>
              <w:t>320元/亩</w:t>
            </w:r>
          </w:p>
        </w:tc>
        <w:tc>
          <w:tcPr>
            <w:tcW w:w="1077" w:type="dxa"/>
            <w:vMerge w:val="continue"/>
            <w:tcBorders>
              <w:tl2br w:val="nil"/>
              <w:tr2bl w:val="nil"/>
            </w:tcBorders>
            <w:noWrap w:val="0"/>
            <w:vAlign w:val="center"/>
          </w:tcPr>
          <w:p>
            <w:pPr>
              <w:spacing w:line="360" w:lineRule="auto"/>
              <w:jc w:val="center"/>
              <w:rPr>
                <w:rFonts w:hint="eastAsia" w:ascii="仿宋" w:hAnsi="仿宋" w:eastAsia="仿宋" w:cs="楷体"/>
                <w:bCs/>
                <w:sz w:val="21"/>
                <w:szCs w:val="21"/>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26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i w:val="0"/>
                <w:iCs w:val="0"/>
                <w:caps w:val="0"/>
                <w:color w:val="000000"/>
                <w:spacing w:val="0"/>
                <w:kern w:val="2"/>
                <w:sz w:val="21"/>
                <w:szCs w:val="21"/>
                <w:lang w:val="en-US" w:eastAsia="zh-CN" w:bidi="ar-SA"/>
              </w:rPr>
            </w:pPr>
            <w:r>
              <w:rPr>
                <w:rFonts w:hint="eastAsia" w:ascii="仿宋" w:hAnsi="仿宋" w:eastAsia="仿宋" w:cs="仿宋"/>
                <w:i w:val="0"/>
                <w:iCs w:val="0"/>
                <w:caps w:val="0"/>
                <w:color w:val="000000"/>
                <w:spacing w:val="0"/>
                <w:kern w:val="0"/>
                <w:sz w:val="21"/>
                <w:szCs w:val="21"/>
                <w:lang w:val="en-US" w:eastAsia="zh-CN" w:bidi="ar"/>
              </w:rPr>
              <w:t>700亩-1200亩（含）</w:t>
            </w:r>
          </w:p>
        </w:tc>
        <w:tc>
          <w:tcPr>
            <w:tcW w:w="332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i w:val="0"/>
                <w:iCs w:val="0"/>
                <w:caps w:val="0"/>
                <w:color w:val="000000"/>
                <w:spacing w:val="0"/>
                <w:kern w:val="2"/>
                <w:sz w:val="21"/>
                <w:szCs w:val="21"/>
                <w:lang w:val="en-US" w:eastAsia="zh-CN" w:bidi="ar-SA"/>
              </w:rPr>
            </w:pPr>
            <w:r>
              <w:rPr>
                <w:rFonts w:hint="eastAsia" w:ascii="仿宋" w:hAnsi="仿宋" w:eastAsia="仿宋" w:cs="仿宋"/>
                <w:i w:val="0"/>
                <w:iCs w:val="0"/>
                <w:caps w:val="0"/>
                <w:color w:val="000000"/>
                <w:spacing w:val="0"/>
                <w:kern w:val="0"/>
                <w:sz w:val="21"/>
                <w:szCs w:val="21"/>
                <w:lang w:val="en-US" w:eastAsia="zh-CN" w:bidi="ar"/>
              </w:rPr>
              <w:t>280元/亩</w:t>
            </w:r>
          </w:p>
        </w:tc>
        <w:tc>
          <w:tcPr>
            <w:tcW w:w="1077" w:type="dxa"/>
            <w:vMerge w:val="continue"/>
            <w:tcBorders>
              <w:tl2br w:val="nil"/>
              <w:tr2bl w:val="nil"/>
            </w:tcBorders>
            <w:noWrap w:val="0"/>
            <w:vAlign w:val="center"/>
          </w:tcPr>
          <w:p>
            <w:pPr>
              <w:spacing w:line="360" w:lineRule="auto"/>
              <w:jc w:val="center"/>
              <w:rPr>
                <w:rFonts w:hint="eastAsia" w:ascii="仿宋" w:hAnsi="仿宋" w:eastAsia="仿宋" w:cs="楷体"/>
                <w:bCs/>
                <w:sz w:val="21"/>
                <w:szCs w:val="21"/>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26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i w:val="0"/>
                <w:iCs w:val="0"/>
                <w:caps w:val="0"/>
                <w:color w:val="000000"/>
                <w:spacing w:val="0"/>
                <w:kern w:val="0"/>
                <w:sz w:val="21"/>
                <w:szCs w:val="21"/>
                <w:lang w:val="en-US" w:eastAsia="zh-CN" w:bidi="ar"/>
              </w:rPr>
            </w:pPr>
            <w:r>
              <w:rPr>
                <w:rFonts w:hint="eastAsia" w:ascii="仿宋" w:hAnsi="仿宋" w:eastAsia="仿宋" w:cs="仿宋"/>
                <w:i w:val="0"/>
                <w:iCs w:val="0"/>
                <w:caps w:val="0"/>
                <w:color w:val="000000"/>
                <w:spacing w:val="0"/>
                <w:kern w:val="0"/>
                <w:sz w:val="21"/>
                <w:szCs w:val="21"/>
                <w:lang w:val="en-US" w:eastAsia="zh-CN" w:bidi="ar"/>
              </w:rPr>
              <w:t>1200亩以上</w:t>
            </w:r>
          </w:p>
        </w:tc>
        <w:tc>
          <w:tcPr>
            <w:tcW w:w="3321" w:type="dxa"/>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i w:val="0"/>
                <w:iCs w:val="0"/>
                <w:caps w:val="0"/>
                <w:color w:val="000000"/>
                <w:spacing w:val="0"/>
                <w:kern w:val="0"/>
                <w:sz w:val="21"/>
                <w:szCs w:val="21"/>
                <w:lang w:val="en-US" w:eastAsia="zh-CN" w:bidi="ar"/>
              </w:rPr>
            </w:pPr>
            <w:r>
              <w:rPr>
                <w:rFonts w:hint="eastAsia" w:ascii="仿宋" w:hAnsi="仿宋" w:eastAsia="仿宋" w:cs="仿宋"/>
                <w:i w:val="0"/>
                <w:iCs w:val="0"/>
                <w:caps w:val="0"/>
                <w:color w:val="000000"/>
                <w:spacing w:val="0"/>
                <w:kern w:val="0"/>
                <w:sz w:val="21"/>
                <w:szCs w:val="21"/>
                <w:lang w:val="en-US" w:eastAsia="zh-CN" w:bidi="ar"/>
              </w:rPr>
              <w:t>240元/亩</w:t>
            </w:r>
          </w:p>
        </w:tc>
        <w:tc>
          <w:tcPr>
            <w:tcW w:w="1077" w:type="dxa"/>
            <w:vMerge w:val="continue"/>
            <w:tcBorders>
              <w:tl2br w:val="nil"/>
              <w:tr2bl w:val="nil"/>
            </w:tcBorders>
            <w:noWrap w:val="0"/>
            <w:vAlign w:val="center"/>
          </w:tcPr>
          <w:p>
            <w:pPr>
              <w:spacing w:line="360" w:lineRule="auto"/>
              <w:jc w:val="center"/>
              <w:rPr>
                <w:rFonts w:hint="eastAsia" w:ascii="仿宋" w:hAnsi="仿宋" w:eastAsia="仿宋" w:cs="楷体"/>
                <w:bCs/>
                <w:sz w:val="21"/>
                <w:szCs w:val="21"/>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3261" w:type="dxa"/>
            <w:tcBorders>
              <w:tl2br w:val="nil"/>
              <w:tr2bl w:val="nil"/>
            </w:tcBorders>
            <w:shd w:val="clear" w:color="auto" w:fill="DCE6F2"/>
            <w:noWrap w:val="0"/>
            <w:vAlign w:val="center"/>
          </w:tcPr>
          <w:p>
            <w:pPr>
              <w:spacing w:line="360" w:lineRule="auto"/>
              <w:jc w:val="center"/>
              <w:rPr>
                <w:rFonts w:hint="eastAsia" w:ascii="仿宋" w:hAnsi="仿宋" w:eastAsia="仿宋" w:cs="仿宋"/>
                <w:i w:val="0"/>
                <w:iCs w:val="0"/>
                <w:caps w:val="0"/>
                <w:color w:val="000000"/>
                <w:spacing w:val="0"/>
                <w:kern w:val="0"/>
                <w:sz w:val="21"/>
                <w:szCs w:val="21"/>
                <w:lang w:val="en-US" w:eastAsia="zh-CN" w:bidi="ar"/>
              </w:rPr>
            </w:pPr>
            <w:r>
              <w:rPr>
                <w:rFonts w:hint="eastAsia" w:ascii="仿宋" w:hAnsi="仿宋" w:eastAsia="仿宋" w:cs="仿宋"/>
                <w:b/>
                <w:bCs/>
                <w:i w:val="0"/>
                <w:iCs w:val="0"/>
                <w:caps w:val="0"/>
                <w:color w:val="000000"/>
                <w:spacing w:val="0"/>
                <w:kern w:val="0"/>
                <w:sz w:val="21"/>
                <w:szCs w:val="21"/>
                <w:lang w:val="en-US" w:eastAsia="zh-CN" w:bidi="ar"/>
              </w:rPr>
              <w:t>重大项目报地</w:t>
            </w:r>
          </w:p>
        </w:tc>
        <w:tc>
          <w:tcPr>
            <w:tcW w:w="3321" w:type="dxa"/>
            <w:tcBorders>
              <w:tl2br w:val="nil"/>
              <w:tr2bl w:val="nil"/>
            </w:tcBorders>
            <w:shd w:val="clear" w:color="auto" w:fill="DCE6F2"/>
            <w:noWrap w:val="0"/>
            <w:vAlign w:val="center"/>
          </w:tcPr>
          <w:p>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i w:val="0"/>
                <w:iCs w:val="0"/>
                <w:caps w:val="0"/>
                <w:color w:val="000000"/>
                <w:spacing w:val="0"/>
                <w:kern w:val="0"/>
                <w:sz w:val="21"/>
                <w:szCs w:val="21"/>
                <w:lang w:val="en-US" w:eastAsia="zh-CN" w:bidi="ar"/>
              </w:rPr>
            </w:pPr>
            <w:r>
              <w:rPr>
                <w:rFonts w:hint="eastAsia" w:ascii="仿宋" w:hAnsi="仿宋" w:eastAsia="仿宋" w:cs="仿宋"/>
                <w:b/>
                <w:bCs/>
                <w:i w:val="0"/>
                <w:iCs w:val="0"/>
                <w:caps w:val="0"/>
                <w:color w:val="000000"/>
                <w:spacing w:val="0"/>
                <w:kern w:val="0"/>
                <w:sz w:val="21"/>
                <w:szCs w:val="21"/>
                <w:lang w:val="en-US" w:eastAsia="zh-CN" w:bidi="ar"/>
              </w:rPr>
              <w:t>200元/亩</w:t>
            </w:r>
          </w:p>
        </w:tc>
        <w:tc>
          <w:tcPr>
            <w:tcW w:w="1077" w:type="dxa"/>
            <w:tcBorders>
              <w:tl2br w:val="nil"/>
              <w:tr2bl w:val="nil"/>
            </w:tcBorders>
            <w:shd w:val="clear" w:color="auto" w:fill="DCE6F2"/>
            <w:noWrap w:val="0"/>
            <w:vAlign w:val="center"/>
          </w:tcPr>
          <w:p>
            <w:pPr>
              <w:spacing w:line="360" w:lineRule="auto"/>
              <w:jc w:val="center"/>
              <w:rPr>
                <w:rFonts w:hint="eastAsia" w:ascii="仿宋" w:hAnsi="仿宋" w:eastAsia="仿宋" w:cs="楷体"/>
                <w:bCs/>
                <w:sz w:val="21"/>
                <w:szCs w:val="21"/>
                <w:vertAlign w:val="baseline"/>
                <w:lang w:val="en-US" w:eastAsia="zh-CN"/>
              </w:rPr>
            </w:pPr>
          </w:p>
        </w:tc>
      </w:tr>
    </w:tbl>
    <w:p>
      <w:pPr>
        <w:spacing w:line="360" w:lineRule="auto"/>
        <w:jc w:val="left"/>
        <w:rPr>
          <w:rFonts w:hint="eastAsia" w:ascii="仿宋" w:hAnsi="仿宋" w:eastAsia="仿宋" w:cs="楷体_GB2312"/>
          <w:bCs/>
          <w:color w:val="000000"/>
          <w:sz w:val="32"/>
          <w:szCs w:val="32"/>
          <w:lang w:val="en-US" w:eastAsia="zh-CN"/>
        </w:rPr>
      </w:pPr>
    </w:p>
    <w:sectPr>
      <w:footerReference r:id="rId10" w:type="default"/>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14022594-4CC7-49F3-9AA8-F461FD244531}"/>
  </w:font>
  <w:font w:name="仿宋">
    <w:panose1 w:val="02010609060101010101"/>
    <w:charset w:val="86"/>
    <w:family w:val="modern"/>
    <w:pitch w:val="default"/>
    <w:sig w:usb0="800002BF" w:usb1="38CF7CFA" w:usb2="00000016" w:usb3="00000000" w:csb0="00040001" w:csb1="00000000"/>
    <w:embedRegular r:id="rId2" w:fontKey="{A8B2DA87-F73A-4B97-B1EC-FBE481F692F3}"/>
  </w:font>
  <w:font w:name="楷体">
    <w:panose1 w:val="02010609060101010101"/>
    <w:charset w:val="86"/>
    <w:family w:val="modern"/>
    <w:pitch w:val="default"/>
    <w:sig w:usb0="800002BF" w:usb1="38CF7CFA" w:usb2="00000016" w:usb3="00000000" w:csb0="00040001" w:csb1="00000000"/>
    <w:embedRegular r:id="rId3" w:fontKey="{1266CA86-C3F9-4B59-B0B8-0275252A9A98}"/>
  </w:font>
  <w:font w:name="楷体_GB2312">
    <w:altName w:val="楷体"/>
    <w:panose1 w:val="00000000000000000000"/>
    <w:charset w:val="00"/>
    <w:family w:val="auto"/>
    <w:pitch w:val="default"/>
    <w:sig w:usb0="00000000" w:usb1="00000000" w:usb2="00000000" w:usb3="00000000" w:csb0="00000000" w:csb1="00000000"/>
    <w:embedRegular r:id="rId4" w:fontKey="{3A70DC89-19B3-4CDD-8597-1C612B2DDE46}"/>
  </w:font>
  <w:font w:name="方正楷体_GB2312">
    <w:panose1 w:val="02000000000000000000"/>
    <w:charset w:val="86"/>
    <w:family w:val="auto"/>
    <w:pitch w:val="default"/>
    <w:sig w:usb0="A00002BF" w:usb1="184F6CFA" w:usb2="00000012" w:usb3="00000000" w:csb0="00040001" w:csb1="00000000"/>
    <w:embedRegular r:id="rId5" w:fontKey="{0EB983FE-5418-4D76-8B64-580C2AB9564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p>
  <w:p>
    <w:pPr>
      <w:pStyle w:val="3"/>
      <w:jc w:val="center"/>
    </w:pPr>
  </w:p>
  <w:p>
    <w:pPr>
      <w:pStyle w:val="3"/>
      <w:jc w:val="center"/>
    </w:pPr>
    <w:r>
      <w:fldChar w:fldCharType="begin"/>
    </w:r>
    <w:r>
      <w:instrText xml:space="preserve">PAGE   \* MERGEFORMAT</w:instrText>
    </w:r>
    <w:r>
      <w:fldChar w:fldCharType="separate"/>
    </w:r>
    <w:r>
      <w:rPr>
        <w:lang w:val="zh-CN"/>
      </w:rPr>
      <w:t>10</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rPr>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pPr>
                      <w:pStyle w:val="3"/>
                      <w:rPr>
                        <w:rFonts w:hint="eastAsia"/>
                      </w:rPr>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1"/>
        <w:right w:val="none" w:color="auto" w:sz="0" w:space="0"/>
        <w:between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95F899"/>
    <w:multiLevelType w:val="singleLevel"/>
    <w:tmpl w:val="2195F89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M1ZGVlMzFiNzhhZDU5YTM1YTc1ZWUxMTc4ZWQzOTAifQ=="/>
  </w:docVars>
  <w:rsids>
    <w:rsidRoot w:val="00AD76B4"/>
    <w:rsid w:val="00125B3B"/>
    <w:rsid w:val="00162D2C"/>
    <w:rsid w:val="001D5BE5"/>
    <w:rsid w:val="002154CD"/>
    <w:rsid w:val="003B1B25"/>
    <w:rsid w:val="0046338D"/>
    <w:rsid w:val="006F2C93"/>
    <w:rsid w:val="007431F2"/>
    <w:rsid w:val="00797DA9"/>
    <w:rsid w:val="00A41D42"/>
    <w:rsid w:val="00AD76B4"/>
    <w:rsid w:val="00CE39C3"/>
    <w:rsid w:val="027540E6"/>
    <w:rsid w:val="028223C4"/>
    <w:rsid w:val="02F35C77"/>
    <w:rsid w:val="0325259C"/>
    <w:rsid w:val="03CC1337"/>
    <w:rsid w:val="06EC293B"/>
    <w:rsid w:val="08D87FEA"/>
    <w:rsid w:val="098D3FE9"/>
    <w:rsid w:val="098E2387"/>
    <w:rsid w:val="0A7807EC"/>
    <w:rsid w:val="0C1F4E62"/>
    <w:rsid w:val="0C336D77"/>
    <w:rsid w:val="0CC639DE"/>
    <w:rsid w:val="0CE93441"/>
    <w:rsid w:val="0D094F9F"/>
    <w:rsid w:val="0D5800E6"/>
    <w:rsid w:val="0EC82589"/>
    <w:rsid w:val="0F4772C4"/>
    <w:rsid w:val="0FF767B9"/>
    <w:rsid w:val="10396523"/>
    <w:rsid w:val="10751FA3"/>
    <w:rsid w:val="10C85BB0"/>
    <w:rsid w:val="10FE70D8"/>
    <w:rsid w:val="12060906"/>
    <w:rsid w:val="124B70BA"/>
    <w:rsid w:val="14F552D1"/>
    <w:rsid w:val="15BF547B"/>
    <w:rsid w:val="170A21A5"/>
    <w:rsid w:val="178805D2"/>
    <w:rsid w:val="17904140"/>
    <w:rsid w:val="18415A0A"/>
    <w:rsid w:val="192B7C90"/>
    <w:rsid w:val="19B751FB"/>
    <w:rsid w:val="19F015E4"/>
    <w:rsid w:val="19F618F8"/>
    <w:rsid w:val="1A6F14E0"/>
    <w:rsid w:val="1BD26061"/>
    <w:rsid w:val="1C4C5489"/>
    <w:rsid w:val="1C532828"/>
    <w:rsid w:val="1CBE13C7"/>
    <w:rsid w:val="1D150DEC"/>
    <w:rsid w:val="1DF726A2"/>
    <w:rsid w:val="1E1D6FD2"/>
    <w:rsid w:val="1E835104"/>
    <w:rsid w:val="1EB5336A"/>
    <w:rsid w:val="20E670F9"/>
    <w:rsid w:val="239129F3"/>
    <w:rsid w:val="23EB3E63"/>
    <w:rsid w:val="247C6B5C"/>
    <w:rsid w:val="24C063B3"/>
    <w:rsid w:val="25BC6113"/>
    <w:rsid w:val="26B31F0A"/>
    <w:rsid w:val="27B93ACD"/>
    <w:rsid w:val="298760C9"/>
    <w:rsid w:val="29FF2829"/>
    <w:rsid w:val="2A6D6F4E"/>
    <w:rsid w:val="2A7B6DF4"/>
    <w:rsid w:val="2A8F1DA3"/>
    <w:rsid w:val="2FC7197D"/>
    <w:rsid w:val="2FF56D06"/>
    <w:rsid w:val="316D3792"/>
    <w:rsid w:val="329C3CB2"/>
    <w:rsid w:val="34362476"/>
    <w:rsid w:val="354237EC"/>
    <w:rsid w:val="36EA02F6"/>
    <w:rsid w:val="371803AC"/>
    <w:rsid w:val="384C05D9"/>
    <w:rsid w:val="38D31106"/>
    <w:rsid w:val="38E8229C"/>
    <w:rsid w:val="3906625D"/>
    <w:rsid w:val="395A0A1C"/>
    <w:rsid w:val="3AEE7EEF"/>
    <w:rsid w:val="3B7C18CF"/>
    <w:rsid w:val="3BD40BE3"/>
    <w:rsid w:val="3BF15F48"/>
    <w:rsid w:val="3CA35F79"/>
    <w:rsid w:val="3D1415AD"/>
    <w:rsid w:val="3E101296"/>
    <w:rsid w:val="3E8312EF"/>
    <w:rsid w:val="3EA44DF0"/>
    <w:rsid w:val="3EC32950"/>
    <w:rsid w:val="3FF11FF4"/>
    <w:rsid w:val="40AE381E"/>
    <w:rsid w:val="412065EA"/>
    <w:rsid w:val="421A1BD2"/>
    <w:rsid w:val="452001E4"/>
    <w:rsid w:val="46876526"/>
    <w:rsid w:val="469C28FF"/>
    <w:rsid w:val="493F445C"/>
    <w:rsid w:val="4A063E7C"/>
    <w:rsid w:val="4B301BE4"/>
    <w:rsid w:val="4C1248F1"/>
    <w:rsid w:val="4D9F33A9"/>
    <w:rsid w:val="4F386422"/>
    <w:rsid w:val="4F3F127F"/>
    <w:rsid w:val="500327B2"/>
    <w:rsid w:val="506002CD"/>
    <w:rsid w:val="51EA4BE0"/>
    <w:rsid w:val="5350270C"/>
    <w:rsid w:val="5371311C"/>
    <w:rsid w:val="54EB4955"/>
    <w:rsid w:val="55EA220C"/>
    <w:rsid w:val="55F61348"/>
    <w:rsid w:val="5628777B"/>
    <w:rsid w:val="57F154D9"/>
    <w:rsid w:val="57FF5E82"/>
    <w:rsid w:val="58427EC3"/>
    <w:rsid w:val="59683D8C"/>
    <w:rsid w:val="59B70CE0"/>
    <w:rsid w:val="5B434857"/>
    <w:rsid w:val="5BBB12A6"/>
    <w:rsid w:val="5CD3695D"/>
    <w:rsid w:val="5DAE6E26"/>
    <w:rsid w:val="5DD95ACA"/>
    <w:rsid w:val="5DE961FA"/>
    <w:rsid w:val="5E191014"/>
    <w:rsid w:val="5F500E4D"/>
    <w:rsid w:val="61A94D4D"/>
    <w:rsid w:val="63223847"/>
    <w:rsid w:val="65532A49"/>
    <w:rsid w:val="65B06854"/>
    <w:rsid w:val="6744501E"/>
    <w:rsid w:val="67AB03DB"/>
    <w:rsid w:val="689E4A51"/>
    <w:rsid w:val="6994340F"/>
    <w:rsid w:val="6A1C3555"/>
    <w:rsid w:val="6A755DC6"/>
    <w:rsid w:val="6AA7704E"/>
    <w:rsid w:val="6C93506F"/>
    <w:rsid w:val="6DBA5D3B"/>
    <w:rsid w:val="6E404171"/>
    <w:rsid w:val="6EDE0BBA"/>
    <w:rsid w:val="6F246F9B"/>
    <w:rsid w:val="6F5D2F6C"/>
    <w:rsid w:val="6F7B7D9B"/>
    <w:rsid w:val="716E0863"/>
    <w:rsid w:val="740A4B2E"/>
    <w:rsid w:val="745032CB"/>
    <w:rsid w:val="754A762E"/>
    <w:rsid w:val="76CC2C05"/>
    <w:rsid w:val="76DA3257"/>
    <w:rsid w:val="77A7227A"/>
    <w:rsid w:val="77CE1AAE"/>
    <w:rsid w:val="78EA6E7D"/>
    <w:rsid w:val="7A57084D"/>
    <w:rsid w:val="7C7029E6"/>
    <w:rsid w:val="7C70710D"/>
    <w:rsid w:val="7D760836"/>
    <w:rsid w:val="7DE765C5"/>
    <w:rsid w:val="7EE435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111"/>
    </w:pPr>
    <w:rPr>
      <w:rFonts w:ascii="仿宋" w:hAnsi="仿宋" w:eastAsia="仿宋" w:cs="仿宋"/>
      <w:sz w:val="32"/>
      <w:szCs w:val="32"/>
      <w:lang w:val="zh-CN" w:eastAsia="zh-CN" w:bidi="zh-CN"/>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font11"/>
    <w:basedOn w:val="7"/>
    <w:qFormat/>
    <w:uiPriority w:val="0"/>
    <w:rPr>
      <w:rFonts w:hint="default" w:ascii="Times New Roman" w:hAnsi="Times New Roman" w:cs="Times New Roman"/>
      <w:color w:val="000000"/>
      <w:sz w:val="24"/>
      <w:szCs w:val="24"/>
      <w:u w:val="none"/>
    </w:rPr>
  </w:style>
  <w:style w:type="character" w:customStyle="1" w:styleId="11">
    <w:name w:val="font51"/>
    <w:basedOn w:val="7"/>
    <w:qFormat/>
    <w:uiPriority w:val="0"/>
    <w:rPr>
      <w:rFonts w:hint="eastAsia" w:ascii="宋体" w:hAnsi="宋体" w:eastAsia="宋体" w:cs="宋体"/>
      <w:color w:val="000000"/>
      <w:sz w:val="24"/>
      <w:szCs w:val="24"/>
      <w:u w:val="none"/>
    </w:rPr>
  </w:style>
  <w:style w:type="paragraph" w:customStyle="1" w:styleId="12">
    <w:name w:val="Body text|1"/>
    <w:basedOn w:val="1"/>
    <w:qFormat/>
    <w:uiPriority w:val="0"/>
    <w:pPr>
      <w:widowControl w:val="0"/>
      <w:shd w:val="clear" w:color="auto" w:fill="auto"/>
      <w:spacing w:line="343" w:lineRule="auto"/>
      <w:ind w:firstLine="400"/>
    </w:pPr>
    <w:rPr>
      <w:rFonts w:ascii="宋体" w:hAnsi="宋体" w:eastAsia="宋体" w:cs="宋体"/>
      <w:sz w:val="20"/>
      <w:szCs w:val="20"/>
      <w:u w:val="none"/>
      <w:shd w:val="clear" w:color="auto" w:fill="auto"/>
      <w:lang w:val="zh-TW" w:eastAsia="zh-TW" w:bidi="zh-TW"/>
    </w:rPr>
  </w:style>
  <w:style w:type="character" w:customStyle="1" w:styleId="13">
    <w:name w:val="font01"/>
    <w:basedOn w:val="7"/>
    <w:qFormat/>
    <w:uiPriority w:val="0"/>
    <w:rPr>
      <w:rFonts w:hint="eastAsia" w:ascii="仿宋" w:hAnsi="仿宋" w:eastAsia="仿宋" w:cs="仿宋"/>
      <w:color w:val="000000"/>
      <w:sz w:val="21"/>
      <w:szCs w:val="21"/>
      <w:u w:val="none"/>
    </w:rPr>
  </w:style>
  <w:style w:type="paragraph" w:styleId="14">
    <w:name w:val="List Paragraph"/>
    <w:basedOn w:val="1"/>
    <w:qFormat/>
    <w:uiPriority w:val="1"/>
    <w:pPr>
      <w:ind w:left="111" w:right="269" w:firstLine="640"/>
      <w:jc w:val="both"/>
    </w:pPr>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8475</Words>
  <Characters>9026</Characters>
  <Lines>13</Lines>
  <Paragraphs>3</Paragraphs>
  <TotalTime>1</TotalTime>
  <ScaleCrop>false</ScaleCrop>
  <LinksUpToDate>false</LinksUpToDate>
  <CharactersWithSpaces>9360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2020-09-21T02:32:00Z</dcterms:created>
  <dc:creator>jxpgxh@tom.com</dc:creator>
  <cp:lastModifiedBy>Tom</cp:lastModifiedBy>
  <cp:lastPrinted>2020-12-09T01:02:00Z</cp:lastPrinted>
  <dcterms:modified xsi:type="dcterms:W3CDTF">2022-12-01T08:33:30Z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A2AF4D26B83F4080AFFD5DB0179F3020</vt:lpwstr>
  </property>
</Properties>
</file>