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pPr>
    </w:p>
    <w:p>
      <w:pPr>
        <w:spacing w:line="480" w:lineRule="auto"/>
        <w:jc w:val="center"/>
        <w:rPr>
          <w:rFonts w:hint="eastAsia" w:ascii="黑体" w:hAnsi="黑体" w:eastAsia="黑体" w:cs="黑体"/>
          <w:b/>
          <w:bCs/>
          <w:color w:val="000000"/>
          <w:sz w:val="44"/>
          <w:szCs w:val="44"/>
        </w:rPr>
      </w:pPr>
    </w:p>
    <w:p>
      <w:pPr>
        <w:spacing w:line="480" w:lineRule="auto"/>
        <w:jc w:val="center"/>
        <w:rPr>
          <w:rFonts w:hint="eastAsia" w:ascii="黑体" w:hAnsi="黑体" w:eastAsia="黑体" w:cs="黑体"/>
          <w:b/>
          <w:bCs/>
          <w:color w:val="000000"/>
          <w:sz w:val="44"/>
          <w:szCs w:val="44"/>
        </w:rPr>
      </w:pPr>
    </w:p>
    <w:p>
      <w:pPr>
        <w:spacing w:line="480" w:lineRule="auto"/>
        <w:jc w:val="center"/>
        <w:rPr>
          <w:rFonts w:hint="eastAsia" w:ascii="黑体" w:hAnsi="黑体" w:eastAsia="黑体" w:cs="黑体"/>
          <w:b/>
          <w:bCs/>
          <w:color w:val="000000"/>
          <w:sz w:val="44"/>
          <w:szCs w:val="44"/>
        </w:rPr>
      </w:pPr>
    </w:p>
    <w:p>
      <w:pPr>
        <w:spacing w:line="480" w:lineRule="auto"/>
        <w:jc w:val="center"/>
        <w:rPr>
          <w:rFonts w:hint="eastAsia" w:ascii="黑体" w:hAnsi="黑体" w:eastAsia="黑体" w:cs="黑体"/>
          <w:b/>
          <w:bCs/>
          <w:color w:val="000000"/>
          <w:sz w:val="44"/>
          <w:szCs w:val="44"/>
        </w:rPr>
      </w:pPr>
      <w:r>
        <w:rPr>
          <w:rFonts w:hint="eastAsia" w:ascii="黑体" w:hAnsi="黑体" w:eastAsia="黑体" w:cs="黑体"/>
          <w:b/>
          <w:bCs/>
          <w:color w:val="000000"/>
          <w:sz w:val="44"/>
          <w:szCs w:val="44"/>
        </w:rPr>
        <w:t>江西省</w:t>
      </w:r>
      <w:r>
        <w:rPr>
          <w:rFonts w:hint="eastAsia" w:ascii="黑体" w:hAnsi="黑体" w:eastAsia="黑体" w:cs="黑体"/>
          <w:b/>
          <w:bCs/>
          <w:color w:val="000000"/>
          <w:sz w:val="44"/>
          <w:szCs w:val="44"/>
          <w:lang w:eastAsia="zh-CN"/>
        </w:rPr>
        <w:t>园地林地草地定级和基准地价评估服务</w:t>
      </w:r>
    </w:p>
    <w:p>
      <w:pPr>
        <w:spacing w:line="480" w:lineRule="auto"/>
        <w:jc w:val="center"/>
        <w:rPr>
          <w:rFonts w:hint="eastAsia" w:ascii="黑体" w:hAnsi="黑体" w:eastAsia="黑体" w:cs="黑体"/>
          <w:b/>
          <w:bCs/>
          <w:color w:val="000000"/>
          <w:sz w:val="44"/>
          <w:szCs w:val="44"/>
        </w:rPr>
      </w:pPr>
      <w:r>
        <w:rPr>
          <w:rFonts w:hint="eastAsia" w:ascii="黑体" w:hAnsi="黑体" w:eastAsia="黑体" w:cs="黑体"/>
          <w:b/>
          <w:bCs/>
          <w:color w:val="000000"/>
          <w:sz w:val="44"/>
          <w:szCs w:val="44"/>
        </w:rPr>
        <w:t>成本调研</w:t>
      </w:r>
      <w:r>
        <w:rPr>
          <w:rFonts w:hint="eastAsia" w:ascii="黑体" w:hAnsi="黑体" w:eastAsia="黑体" w:cs="黑体"/>
          <w:b/>
          <w:bCs/>
          <w:color w:val="000000"/>
          <w:sz w:val="44"/>
          <w:szCs w:val="44"/>
          <w:lang w:val="en-US" w:eastAsia="zh-CN"/>
        </w:rPr>
        <w:t>结果</w:t>
      </w:r>
      <w:r>
        <w:rPr>
          <w:rFonts w:hint="eastAsia" w:ascii="黑体" w:hAnsi="黑体" w:eastAsia="黑体" w:cs="黑体"/>
          <w:b/>
          <w:bCs/>
          <w:color w:val="000000"/>
          <w:sz w:val="44"/>
          <w:szCs w:val="44"/>
        </w:rPr>
        <w:t>报告</w:t>
      </w:r>
    </w:p>
    <w:p>
      <w:pPr>
        <w:jc w:val="center"/>
        <w:rPr>
          <w:rFonts w:hint="eastAsia" w:ascii="黑体" w:hAnsi="黑体" w:eastAsia="黑体" w:cs="黑体"/>
          <w:b/>
          <w:bCs/>
          <w:color w:val="000000"/>
          <w:sz w:val="36"/>
          <w:szCs w:val="36"/>
        </w:rPr>
      </w:pPr>
    </w:p>
    <w:p>
      <w:pPr>
        <w:jc w:val="center"/>
        <w:rPr>
          <w:rFonts w:hint="eastAsia" w:ascii="楷体" w:hAnsi="楷体" w:eastAsia="楷体" w:cs="楷体"/>
          <w:b/>
          <w:bCs/>
          <w:color w:val="000000"/>
          <w:sz w:val="36"/>
          <w:szCs w:val="36"/>
        </w:rPr>
      </w:pPr>
    </w:p>
    <w:p>
      <w:pPr>
        <w:jc w:val="center"/>
        <w:rPr>
          <w:rFonts w:hint="eastAsia" w:ascii="楷体" w:hAnsi="楷体" w:eastAsia="楷体" w:cs="楷体"/>
          <w:b/>
          <w:bCs/>
          <w:color w:val="000000"/>
          <w:sz w:val="36"/>
          <w:szCs w:val="36"/>
        </w:rPr>
      </w:pPr>
    </w:p>
    <w:p>
      <w:pPr>
        <w:rPr>
          <w:rFonts w:hint="eastAsia" w:ascii="楷体" w:hAnsi="楷体" w:eastAsia="楷体" w:cs="楷体"/>
          <w:b/>
          <w:bCs/>
          <w:color w:val="000000"/>
          <w:sz w:val="36"/>
          <w:szCs w:val="36"/>
        </w:rPr>
      </w:pPr>
    </w:p>
    <w:p>
      <w:pPr>
        <w:jc w:val="center"/>
        <w:rPr>
          <w:rFonts w:hint="eastAsia" w:ascii="楷体" w:hAnsi="楷体" w:eastAsia="楷体" w:cs="楷体"/>
          <w:b/>
          <w:bCs/>
          <w:color w:val="000000"/>
          <w:sz w:val="36"/>
          <w:szCs w:val="36"/>
        </w:rPr>
      </w:pPr>
    </w:p>
    <w:p>
      <w:pPr>
        <w:jc w:val="center"/>
        <w:rPr>
          <w:rFonts w:hint="eastAsia" w:ascii="楷体" w:hAnsi="楷体" w:eastAsia="楷体" w:cs="楷体"/>
          <w:b/>
          <w:bCs/>
          <w:color w:val="000000"/>
          <w:sz w:val="36"/>
          <w:szCs w:val="36"/>
        </w:rPr>
      </w:pPr>
    </w:p>
    <w:p>
      <w:pPr>
        <w:jc w:val="center"/>
        <w:rPr>
          <w:rFonts w:hint="eastAsia" w:ascii="楷体" w:hAnsi="楷体" w:eastAsia="楷体" w:cs="楷体"/>
          <w:b/>
          <w:bCs/>
          <w:color w:val="000000"/>
          <w:sz w:val="36"/>
          <w:szCs w:val="36"/>
        </w:rPr>
      </w:pPr>
    </w:p>
    <w:p>
      <w:pPr>
        <w:jc w:val="center"/>
        <w:rPr>
          <w:rFonts w:hint="eastAsia" w:ascii="楷体" w:hAnsi="楷体" w:eastAsia="楷体" w:cs="楷体"/>
          <w:b/>
          <w:bCs/>
          <w:color w:val="000000"/>
          <w:sz w:val="36"/>
          <w:szCs w:val="36"/>
        </w:rPr>
      </w:pPr>
    </w:p>
    <w:p>
      <w:pPr>
        <w:jc w:val="center"/>
        <w:rPr>
          <w:rFonts w:hint="eastAsia" w:ascii="楷体" w:hAnsi="楷体" w:eastAsia="楷体" w:cs="楷体"/>
          <w:b/>
          <w:bCs/>
          <w:color w:val="000000"/>
          <w:sz w:val="36"/>
          <w:szCs w:val="36"/>
        </w:rPr>
      </w:pPr>
    </w:p>
    <w:p>
      <w:pPr>
        <w:jc w:val="center"/>
        <w:rPr>
          <w:rFonts w:hint="eastAsia" w:ascii="楷体" w:hAnsi="楷体" w:eastAsia="楷体" w:cs="楷体"/>
          <w:b/>
          <w:bCs/>
          <w:color w:val="000000"/>
          <w:sz w:val="36"/>
          <w:szCs w:val="36"/>
        </w:rPr>
      </w:pPr>
    </w:p>
    <w:p>
      <w:pPr>
        <w:jc w:val="center"/>
        <w:rPr>
          <w:rFonts w:hint="eastAsia" w:ascii="楷体" w:hAnsi="楷体" w:eastAsia="楷体" w:cs="楷体"/>
          <w:b/>
          <w:bCs/>
          <w:color w:val="000000"/>
          <w:sz w:val="36"/>
          <w:szCs w:val="36"/>
        </w:rPr>
      </w:pPr>
    </w:p>
    <w:p>
      <w:pPr>
        <w:jc w:val="center"/>
        <w:rPr>
          <w:rFonts w:hint="eastAsia" w:ascii="楷体" w:hAnsi="楷体" w:eastAsia="楷体" w:cs="楷体"/>
          <w:b/>
          <w:bCs/>
          <w:color w:val="000000"/>
          <w:sz w:val="28"/>
          <w:szCs w:val="28"/>
        </w:rPr>
      </w:pPr>
    </w:p>
    <w:p>
      <w:pPr>
        <w:spacing w:line="480" w:lineRule="auto"/>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江西省土地评估服务收费成本测算小组</w:t>
      </w:r>
    </w:p>
    <w:p>
      <w:pPr>
        <w:spacing w:line="480" w:lineRule="auto"/>
        <w:jc w:val="center"/>
        <w:rPr>
          <w:rFonts w:hint="default"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二〇二三年十月</w:t>
      </w:r>
    </w:p>
    <w:p>
      <w:pPr>
        <w:spacing w:line="0" w:lineRule="atLeast"/>
        <w:jc w:val="center"/>
        <w:rPr>
          <w:rFonts w:hint="eastAsia" w:ascii="宋体" w:hAnsi="宋体" w:eastAsia="宋体" w:cs="楷体"/>
          <w:b/>
          <w:bCs/>
          <w:sz w:val="44"/>
          <w:szCs w:val="44"/>
          <w:lang w:eastAsia="zh-CN"/>
        </w:rPr>
      </w:pPr>
    </w:p>
    <w:p>
      <w:pPr>
        <w:spacing w:line="0" w:lineRule="atLeast"/>
        <w:jc w:val="center"/>
        <w:rPr>
          <w:rFonts w:hint="eastAsia" w:ascii="宋体" w:hAnsi="宋体" w:eastAsia="宋体" w:cs="楷体"/>
          <w:b/>
          <w:bCs/>
          <w:sz w:val="44"/>
          <w:szCs w:val="44"/>
          <w:lang w:eastAsia="zh-CN"/>
        </w:rPr>
      </w:pPr>
    </w:p>
    <w:p>
      <w:pPr>
        <w:numPr>
          <w:ilvl w:val="0"/>
          <w:numId w:val="0"/>
        </w:numPr>
        <w:spacing w:line="0" w:lineRule="atLeast"/>
        <w:jc w:val="center"/>
        <w:rPr>
          <w:rFonts w:hint="eastAsia" w:ascii="仿宋" w:hAnsi="仿宋" w:eastAsia="仿宋" w:cs="仿宋"/>
          <w:b/>
          <w:bCs/>
          <w:color w:val="000000"/>
          <w:sz w:val="44"/>
          <w:szCs w:val="44"/>
          <w:lang w:eastAsia="zh-CN"/>
        </w:rPr>
        <w:sectPr>
          <w:pgSz w:w="11911" w:h="16838"/>
          <w:pgMar w:top="1502" w:right="1259" w:bottom="1179" w:left="1417" w:header="0" w:footer="992" w:gutter="0"/>
          <w:pgBorders>
            <w:top w:val="none" w:sz="0" w:space="0"/>
            <w:left w:val="none" w:sz="0" w:space="0"/>
            <w:bottom w:val="none" w:sz="0" w:space="0"/>
            <w:right w:val="none" w:sz="0" w:space="0"/>
          </w:pgBorders>
          <w:cols w:space="0" w:num="1"/>
          <w:rtlGutter w:val="0"/>
          <w:docGrid w:linePitch="319" w:charSpace="0"/>
        </w:sectPr>
      </w:pPr>
    </w:p>
    <w:p>
      <w:pPr>
        <w:numPr>
          <w:ilvl w:val="0"/>
          <w:numId w:val="0"/>
        </w:numPr>
        <w:spacing w:line="0" w:lineRule="atLeast"/>
        <w:jc w:val="center"/>
        <w:rPr>
          <w:rFonts w:hint="eastAsia" w:ascii="仿宋" w:hAnsi="仿宋" w:eastAsia="仿宋" w:cs="仿宋"/>
          <w:b/>
          <w:bCs/>
          <w:color w:val="000000"/>
          <w:sz w:val="44"/>
          <w:szCs w:val="44"/>
          <w:lang w:eastAsia="zh-CN"/>
        </w:rPr>
      </w:pPr>
    </w:p>
    <w:p>
      <w:pPr>
        <w:numPr>
          <w:ilvl w:val="0"/>
          <w:numId w:val="0"/>
        </w:numPr>
        <w:spacing w:line="0" w:lineRule="atLeast"/>
        <w:jc w:val="center"/>
        <w:rPr>
          <w:rFonts w:hint="eastAsia" w:ascii="仿宋" w:hAnsi="仿宋" w:eastAsia="仿宋" w:cs="仿宋"/>
          <w:b/>
          <w:bCs/>
          <w:color w:val="000000"/>
          <w:sz w:val="44"/>
          <w:szCs w:val="44"/>
          <w:lang w:eastAsia="zh-CN"/>
        </w:rPr>
      </w:pPr>
      <w:r>
        <w:rPr>
          <w:rFonts w:hint="eastAsia" w:ascii="仿宋" w:hAnsi="仿宋" w:eastAsia="仿宋" w:cs="仿宋"/>
          <w:b/>
          <w:bCs/>
          <w:color w:val="000000"/>
          <w:sz w:val="44"/>
          <w:szCs w:val="44"/>
          <w:lang w:eastAsia="zh-CN"/>
        </w:rPr>
        <w:t>目</w:t>
      </w:r>
      <w:r>
        <w:rPr>
          <w:rFonts w:hint="eastAsia" w:ascii="仿宋" w:hAnsi="仿宋" w:eastAsia="仿宋" w:cs="仿宋"/>
          <w:b/>
          <w:bCs/>
          <w:color w:val="000000"/>
          <w:sz w:val="44"/>
          <w:szCs w:val="44"/>
          <w:lang w:val="en-US" w:eastAsia="zh-CN"/>
        </w:rPr>
        <w:t xml:space="preserve">   </w:t>
      </w:r>
      <w:r>
        <w:rPr>
          <w:rFonts w:hint="eastAsia" w:ascii="仿宋" w:hAnsi="仿宋" w:eastAsia="仿宋" w:cs="仿宋"/>
          <w:b/>
          <w:bCs/>
          <w:color w:val="000000"/>
          <w:sz w:val="44"/>
          <w:szCs w:val="44"/>
          <w:lang w:eastAsia="zh-CN"/>
        </w:rPr>
        <w:t>录</w:t>
      </w:r>
    </w:p>
    <w:p>
      <w:pPr>
        <w:numPr>
          <w:ilvl w:val="0"/>
          <w:numId w:val="0"/>
        </w:numPr>
        <w:spacing w:line="0" w:lineRule="atLeast"/>
        <w:jc w:val="center"/>
        <w:rPr>
          <w:rFonts w:hint="eastAsia" w:ascii="仿宋" w:hAnsi="仿宋" w:eastAsia="仿宋" w:cs="仿宋"/>
          <w:b/>
          <w:bCs/>
          <w:color w:val="000000"/>
          <w:sz w:val="30"/>
          <w:szCs w:val="30"/>
          <w:lang w:eastAsia="zh-CN"/>
        </w:rPr>
      </w:pPr>
    </w:p>
    <w:p>
      <w:pPr>
        <w:keepNext w:val="0"/>
        <w:keepLines w:val="0"/>
        <w:pageBreakBefore w:val="0"/>
        <w:widowControl w:val="0"/>
        <w:kinsoku/>
        <w:wordWrap/>
        <w:overflowPunct/>
        <w:topLinePunct w:val="0"/>
        <w:autoSpaceDE/>
        <w:autoSpaceDN/>
        <w:bidi w:val="0"/>
        <w:adjustRightInd/>
        <w:snapToGrid/>
        <w:spacing w:line="900" w:lineRule="exact"/>
        <w:ind w:left="0" w:leftChars="0" w:right="0" w:rightChars="0" w:firstLine="281" w:firstLineChars="100"/>
        <w:textAlignment w:val="auto"/>
        <w:rPr>
          <w:rFonts w:hint="eastAsia" w:ascii="仿宋" w:hAnsi="仿宋" w:eastAsia="仿宋" w:cs="仿宋"/>
          <w:b/>
          <w:bCs w:val="0"/>
          <w:color w:val="000000"/>
          <w:sz w:val="28"/>
          <w:szCs w:val="28"/>
        </w:rPr>
      </w:pPr>
      <w:r>
        <w:rPr>
          <w:rFonts w:hint="eastAsia" w:ascii="仿宋" w:hAnsi="仿宋" w:eastAsia="仿宋" w:cs="仿宋"/>
          <w:b/>
          <w:bCs w:val="0"/>
          <w:color w:val="000000"/>
          <w:sz w:val="28"/>
          <w:szCs w:val="28"/>
          <w:lang w:val="en-US" w:eastAsia="zh-CN"/>
        </w:rPr>
        <w:t>一、调研背景</w:t>
      </w:r>
      <w:r>
        <w:rPr>
          <w:rFonts w:hint="eastAsia" w:ascii="仿宋" w:hAnsi="仿宋" w:eastAsia="仿宋" w:cs="仿宋"/>
          <w:b/>
          <w:bCs w:val="0"/>
          <w:color w:val="000000"/>
          <w:sz w:val="28"/>
          <w:szCs w:val="28"/>
        </w:rPr>
        <w:t>………………………………………………………（</w:t>
      </w:r>
      <w:r>
        <w:rPr>
          <w:rFonts w:hint="eastAsia" w:ascii="仿宋" w:hAnsi="仿宋" w:eastAsia="仿宋" w:cs="仿宋"/>
          <w:b/>
          <w:bCs w:val="0"/>
          <w:color w:val="000000"/>
          <w:sz w:val="28"/>
          <w:szCs w:val="28"/>
          <w:lang w:val="en-US" w:eastAsia="zh-CN"/>
        </w:rPr>
        <w:t>1</w:t>
      </w:r>
      <w:r>
        <w:rPr>
          <w:rFonts w:hint="eastAsia" w:ascii="仿宋" w:hAnsi="仿宋" w:eastAsia="仿宋" w:cs="仿宋"/>
          <w:b/>
          <w:bCs w:val="0"/>
          <w:color w:val="000000"/>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900" w:lineRule="exact"/>
        <w:ind w:left="0" w:leftChars="0" w:right="0" w:rightChars="0"/>
        <w:jc w:val="both"/>
        <w:textAlignment w:val="auto"/>
        <w:rPr>
          <w:rFonts w:hint="eastAsia" w:ascii="仿宋" w:hAnsi="仿宋" w:eastAsia="仿宋" w:cs="仿宋"/>
          <w:b/>
          <w:bCs w:val="0"/>
          <w:color w:val="000000"/>
          <w:sz w:val="28"/>
          <w:szCs w:val="28"/>
        </w:rPr>
      </w:pPr>
      <w:r>
        <w:rPr>
          <w:rFonts w:hint="eastAsia" w:ascii="仿宋" w:hAnsi="仿宋" w:eastAsia="仿宋" w:cs="仿宋"/>
          <w:b/>
          <w:bCs w:val="0"/>
          <w:color w:val="000000"/>
          <w:sz w:val="28"/>
          <w:szCs w:val="28"/>
          <w:lang w:val="en-US" w:eastAsia="zh-CN"/>
        </w:rPr>
        <w:t xml:space="preserve">  二、</w:t>
      </w:r>
      <w:r>
        <w:rPr>
          <w:rFonts w:hint="eastAsia" w:ascii="仿宋" w:hAnsi="仿宋" w:eastAsia="仿宋" w:cs="仿宋"/>
          <w:b/>
          <w:bCs w:val="0"/>
          <w:color w:val="000000"/>
          <w:sz w:val="28"/>
          <w:szCs w:val="28"/>
        </w:rPr>
        <w:t>调研目的………………………………………………………（</w:t>
      </w:r>
      <w:r>
        <w:rPr>
          <w:rFonts w:hint="eastAsia" w:ascii="仿宋" w:hAnsi="仿宋" w:eastAsia="仿宋" w:cs="仿宋"/>
          <w:b/>
          <w:bCs w:val="0"/>
          <w:color w:val="000000"/>
          <w:sz w:val="28"/>
          <w:szCs w:val="28"/>
          <w:lang w:val="en-US" w:eastAsia="zh-CN"/>
        </w:rPr>
        <w:t>1</w:t>
      </w:r>
      <w:r>
        <w:rPr>
          <w:rFonts w:hint="eastAsia" w:ascii="仿宋" w:hAnsi="仿宋" w:eastAsia="仿宋" w:cs="仿宋"/>
          <w:b/>
          <w:bCs w:val="0"/>
          <w:color w:val="000000"/>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900" w:lineRule="exact"/>
        <w:ind w:left="0" w:leftChars="0" w:right="0" w:rightChars="0"/>
        <w:jc w:val="both"/>
        <w:textAlignment w:val="auto"/>
        <w:rPr>
          <w:rFonts w:hint="eastAsia" w:ascii="仿宋" w:hAnsi="仿宋" w:eastAsia="仿宋" w:cs="仿宋"/>
          <w:b/>
          <w:bCs w:val="0"/>
          <w:color w:val="000000"/>
          <w:sz w:val="28"/>
          <w:szCs w:val="28"/>
        </w:rPr>
      </w:pPr>
      <w:r>
        <w:rPr>
          <w:rFonts w:hint="eastAsia" w:ascii="仿宋" w:hAnsi="仿宋" w:eastAsia="仿宋" w:cs="仿宋"/>
          <w:b/>
          <w:bCs w:val="0"/>
          <w:color w:val="000000"/>
          <w:sz w:val="28"/>
          <w:szCs w:val="28"/>
          <w:lang w:val="en-US" w:eastAsia="zh-CN"/>
        </w:rPr>
        <w:t xml:space="preserve">  三、</w:t>
      </w:r>
      <w:r>
        <w:rPr>
          <w:rFonts w:hint="eastAsia" w:ascii="仿宋" w:hAnsi="仿宋" w:eastAsia="仿宋" w:cs="仿宋"/>
          <w:b/>
          <w:bCs w:val="0"/>
          <w:color w:val="000000"/>
          <w:sz w:val="28"/>
          <w:szCs w:val="28"/>
        </w:rPr>
        <w:t>调研</w:t>
      </w:r>
      <w:r>
        <w:rPr>
          <w:rFonts w:hint="eastAsia" w:ascii="仿宋" w:hAnsi="仿宋" w:eastAsia="仿宋" w:cs="仿宋"/>
          <w:b/>
          <w:bCs w:val="0"/>
          <w:color w:val="000000"/>
          <w:sz w:val="28"/>
          <w:szCs w:val="28"/>
          <w:lang w:val="en-US" w:eastAsia="zh-CN"/>
        </w:rPr>
        <w:t>对象</w:t>
      </w:r>
      <w:r>
        <w:rPr>
          <w:rFonts w:hint="eastAsia" w:ascii="仿宋" w:hAnsi="仿宋" w:eastAsia="仿宋" w:cs="仿宋"/>
          <w:b/>
          <w:bCs w:val="0"/>
          <w:color w:val="000000"/>
          <w:sz w:val="28"/>
          <w:szCs w:val="28"/>
        </w:rPr>
        <w:t>………………………………………………………（</w:t>
      </w:r>
      <w:r>
        <w:rPr>
          <w:rFonts w:hint="eastAsia" w:ascii="仿宋" w:hAnsi="仿宋" w:eastAsia="仿宋" w:cs="仿宋"/>
          <w:b/>
          <w:bCs w:val="0"/>
          <w:color w:val="000000"/>
          <w:sz w:val="28"/>
          <w:szCs w:val="28"/>
          <w:lang w:val="en-US" w:eastAsia="zh-CN"/>
        </w:rPr>
        <w:t>1</w:t>
      </w:r>
      <w:r>
        <w:rPr>
          <w:rFonts w:hint="eastAsia" w:ascii="仿宋" w:hAnsi="仿宋" w:eastAsia="仿宋" w:cs="仿宋"/>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900" w:lineRule="exact"/>
        <w:ind w:left="0" w:leftChars="0" w:right="0" w:rightChars="0"/>
        <w:jc w:val="left"/>
        <w:textAlignment w:val="auto"/>
        <w:outlineLvl w:val="9"/>
        <w:rPr>
          <w:rFonts w:hint="eastAsia" w:ascii="仿宋" w:hAnsi="仿宋" w:eastAsia="仿宋" w:cs="仿宋"/>
          <w:b/>
          <w:bCs w:val="0"/>
          <w:color w:val="000000"/>
          <w:sz w:val="28"/>
          <w:szCs w:val="28"/>
        </w:rPr>
      </w:pPr>
      <w:r>
        <w:rPr>
          <w:rFonts w:hint="eastAsia" w:ascii="仿宋" w:hAnsi="仿宋" w:eastAsia="仿宋" w:cs="仿宋"/>
          <w:b/>
          <w:bCs w:val="0"/>
          <w:color w:val="000000"/>
          <w:sz w:val="28"/>
          <w:szCs w:val="28"/>
          <w:lang w:val="en-US" w:eastAsia="zh-CN"/>
        </w:rPr>
        <w:t xml:space="preserve">  四、</w:t>
      </w:r>
      <w:r>
        <w:rPr>
          <w:rFonts w:hint="eastAsia" w:ascii="仿宋" w:hAnsi="仿宋" w:eastAsia="仿宋" w:cs="仿宋"/>
          <w:b/>
          <w:bCs w:val="0"/>
          <w:color w:val="000000"/>
          <w:sz w:val="28"/>
          <w:szCs w:val="28"/>
        </w:rPr>
        <w:t>调研</w:t>
      </w:r>
      <w:r>
        <w:rPr>
          <w:rFonts w:hint="eastAsia" w:ascii="仿宋" w:hAnsi="仿宋" w:eastAsia="仿宋" w:cs="仿宋"/>
          <w:b/>
          <w:bCs w:val="0"/>
          <w:color w:val="000000"/>
          <w:sz w:val="28"/>
          <w:szCs w:val="28"/>
          <w:lang w:val="en-US" w:eastAsia="zh-CN"/>
        </w:rPr>
        <w:t>内容</w:t>
      </w:r>
      <w:r>
        <w:rPr>
          <w:rFonts w:hint="eastAsia" w:ascii="仿宋" w:hAnsi="仿宋" w:eastAsia="仿宋" w:cs="仿宋"/>
          <w:b/>
          <w:bCs w:val="0"/>
          <w:color w:val="000000"/>
          <w:sz w:val="28"/>
          <w:szCs w:val="28"/>
        </w:rPr>
        <w:t>………………………………………………………（</w:t>
      </w:r>
      <w:r>
        <w:rPr>
          <w:rFonts w:hint="eastAsia" w:ascii="仿宋" w:hAnsi="仿宋" w:eastAsia="仿宋" w:cs="仿宋"/>
          <w:b/>
          <w:bCs w:val="0"/>
          <w:color w:val="000000"/>
          <w:sz w:val="28"/>
          <w:szCs w:val="28"/>
          <w:lang w:val="en-US" w:eastAsia="zh-CN"/>
        </w:rPr>
        <w:t>2</w:t>
      </w:r>
      <w:r>
        <w:rPr>
          <w:rFonts w:hint="eastAsia" w:ascii="仿宋" w:hAnsi="仿宋" w:eastAsia="仿宋" w:cs="仿宋"/>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900" w:lineRule="exact"/>
        <w:ind w:left="2530" w:leftChars="0" w:right="0" w:rightChars="0" w:hanging="2530" w:hangingChars="900"/>
        <w:jc w:val="both"/>
        <w:textAlignment w:val="auto"/>
        <w:rPr>
          <w:rFonts w:hint="eastAsia" w:ascii="仿宋" w:hAnsi="仿宋" w:eastAsia="仿宋" w:cs="仿宋"/>
          <w:b/>
          <w:bCs w:val="0"/>
          <w:color w:val="000000"/>
          <w:sz w:val="28"/>
          <w:szCs w:val="28"/>
          <w:lang w:eastAsia="zh-CN"/>
        </w:rPr>
      </w:pPr>
      <w:r>
        <w:rPr>
          <w:rFonts w:hint="eastAsia" w:ascii="仿宋" w:hAnsi="仿宋" w:eastAsia="仿宋" w:cs="仿宋"/>
          <w:b/>
          <w:bCs w:val="0"/>
          <w:color w:val="000000"/>
          <w:sz w:val="28"/>
          <w:szCs w:val="28"/>
          <w:lang w:val="en-US" w:eastAsia="zh-CN"/>
        </w:rPr>
        <w:t xml:space="preserve">  五、</w:t>
      </w:r>
      <w:r>
        <w:rPr>
          <w:rFonts w:hint="eastAsia" w:ascii="仿宋" w:hAnsi="仿宋" w:eastAsia="仿宋" w:cs="仿宋"/>
          <w:b/>
          <w:bCs w:val="0"/>
          <w:color w:val="000000"/>
          <w:sz w:val="28"/>
          <w:szCs w:val="28"/>
        </w:rPr>
        <w:t>调研</w:t>
      </w:r>
      <w:r>
        <w:rPr>
          <w:rFonts w:hint="eastAsia" w:ascii="仿宋" w:hAnsi="仿宋" w:eastAsia="仿宋" w:cs="仿宋"/>
          <w:b/>
          <w:bCs w:val="0"/>
          <w:color w:val="000000"/>
          <w:sz w:val="28"/>
          <w:szCs w:val="28"/>
          <w:lang w:val="en-US" w:eastAsia="zh-CN"/>
        </w:rPr>
        <w:t>方法</w:t>
      </w:r>
      <w:r>
        <w:rPr>
          <w:rFonts w:hint="eastAsia" w:ascii="仿宋" w:hAnsi="仿宋" w:eastAsia="仿宋" w:cs="仿宋"/>
          <w:b/>
          <w:bCs w:val="0"/>
          <w:color w:val="000000"/>
          <w:sz w:val="28"/>
          <w:szCs w:val="28"/>
        </w:rPr>
        <w:t>………………………………………………………（</w:t>
      </w:r>
      <w:r>
        <w:rPr>
          <w:rFonts w:hint="eastAsia" w:ascii="仿宋" w:hAnsi="仿宋" w:eastAsia="仿宋" w:cs="仿宋"/>
          <w:b/>
          <w:bCs w:val="0"/>
          <w:color w:val="000000"/>
          <w:sz w:val="28"/>
          <w:szCs w:val="28"/>
          <w:lang w:val="en-US" w:eastAsia="zh-CN"/>
        </w:rPr>
        <w:t>2</w:t>
      </w:r>
      <w:r>
        <w:rPr>
          <w:rFonts w:hint="eastAsia" w:ascii="仿宋" w:hAnsi="仿宋" w:eastAsia="仿宋" w:cs="仿宋"/>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900" w:lineRule="exact"/>
        <w:ind w:firstLine="281" w:firstLineChars="100"/>
        <w:jc w:val="both"/>
        <w:textAlignment w:val="auto"/>
        <w:rPr>
          <w:rFonts w:hint="eastAsia" w:ascii="仿宋" w:hAnsi="仿宋" w:eastAsia="仿宋" w:cs="仿宋"/>
          <w:b/>
          <w:bCs w:val="0"/>
          <w:color w:val="000000"/>
          <w:sz w:val="28"/>
          <w:szCs w:val="28"/>
        </w:rPr>
      </w:pPr>
      <w:r>
        <w:rPr>
          <w:rFonts w:hint="eastAsia" w:ascii="仿宋" w:hAnsi="仿宋" w:eastAsia="仿宋" w:cs="仿宋"/>
          <w:b/>
          <w:bCs w:val="0"/>
          <w:color w:val="000000"/>
          <w:sz w:val="28"/>
          <w:szCs w:val="28"/>
          <w:lang w:val="en-US" w:eastAsia="zh-CN"/>
        </w:rPr>
        <w:t>六、</w:t>
      </w:r>
      <w:r>
        <w:rPr>
          <w:rFonts w:hint="eastAsia" w:ascii="仿宋" w:hAnsi="仿宋" w:eastAsia="仿宋" w:cs="仿宋"/>
          <w:b/>
          <w:bCs w:val="0"/>
          <w:color w:val="000000"/>
          <w:sz w:val="28"/>
          <w:szCs w:val="28"/>
        </w:rPr>
        <w:t>调研</w:t>
      </w:r>
      <w:r>
        <w:rPr>
          <w:rFonts w:hint="eastAsia" w:ascii="仿宋" w:hAnsi="仿宋" w:eastAsia="仿宋" w:cs="仿宋"/>
          <w:b/>
          <w:bCs w:val="0"/>
          <w:color w:val="000000"/>
          <w:sz w:val="28"/>
          <w:szCs w:val="28"/>
          <w:lang w:val="en-US" w:eastAsia="zh-CN"/>
        </w:rPr>
        <w:t>人员安排</w:t>
      </w:r>
      <w:r>
        <w:rPr>
          <w:rFonts w:hint="eastAsia" w:ascii="仿宋" w:hAnsi="仿宋" w:eastAsia="仿宋" w:cs="仿宋"/>
          <w:b/>
          <w:bCs w:val="0"/>
          <w:color w:val="000000"/>
          <w:sz w:val="28"/>
          <w:szCs w:val="28"/>
        </w:rPr>
        <w:t>…………………………………………………（</w:t>
      </w:r>
      <w:r>
        <w:rPr>
          <w:rFonts w:hint="eastAsia" w:ascii="仿宋" w:hAnsi="仿宋" w:eastAsia="仿宋" w:cs="仿宋"/>
          <w:b/>
          <w:bCs w:val="0"/>
          <w:color w:val="000000"/>
          <w:sz w:val="28"/>
          <w:szCs w:val="28"/>
          <w:lang w:val="en-US" w:eastAsia="zh-CN"/>
        </w:rPr>
        <w:t>2</w:t>
      </w:r>
      <w:r>
        <w:rPr>
          <w:rFonts w:hint="eastAsia" w:ascii="仿宋" w:hAnsi="仿宋" w:eastAsia="仿宋" w:cs="仿宋"/>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900" w:lineRule="exact"/>
        <w:ind w:left="0" w:leftChars="0" w:right="0" w:rightChars="0"/>
        <w:jc w:val="both"/>
        <w:textAlignment w:val="auto"/>
        <w:rPr>
          <w:rFonts w:hint="eastAsia" w:ascii="仿宋" w:hAnsi="仿宋" w:eastAsia="仿宋" w:cs="仿宋"/>
          <w:b/>
          <w:bCs w:val="0"/>
          <w:color w:val="000000"/>
          <w:sz w:val="28"/>
          <w:szCs w:val="28"/>
        </w:rPr>
      </w:pPr>
      <w:r>
        <w:rPr>
          <w:rFonts w:hint="eastAsia" w:ascii="仿宋" w:hAnsi="仿宋" w:eastAsia="仿宋" w:cs="仿宋"/>
          <w:b/>
          <w:bCs w:val="0"/>
          <w:color w:val="000000"/>
          <w:sz w:val="28"/>
          <w:szCs w:val="28"/>
          <w:lang w:val="en-US" w:eastAsia="zh-CN"/>
        </w:rPr>
        <w:t xml:space="preserve">  七、</w:t>
      </w:r>
      <w:r>
        <w:rPr>
          <w:rFonts w:hint="eastAsia" w:ascii="仿宋" w:hAnsi="仿宋" w:eastAsia="仿宋" w:cs="楷体_GB2312"/>
          <w:b/>
          <w:bCs w:val="0"/>
          <w:color w:val="000000"/>
          <w:sz w:val="28"/>
          <w:szCs w:val="28"/>
          <w:lang w:eastAsia="zh-CN"/>
        </w:rPr>
        <w:t>江西省县级行政区面积统计分析</w:t>
      </w:r>
      <w:r>
        <w:rPr>
          <w:rFonts w:hint="eastAsia" w:ascii="仿宋" w:hAnsi="仿宋" w:eastAsia="仿宋" w:cs="仿宋"/>
          <w:b/>
          <w:bCs w:val="0"/>
          <w:color w:val="000000"/>
          <w:sz w:val="28"/>
          <w:szCs w:val="28"/>
        </w:rPr>
        <w:t>……………………………（</w:t>
      </w:r>
      <w:r>
        <w:rPr>
          <w:rFonts w:hint="eastAsia" w:ascii="仿宋" w:hAnsi="仿宋" w:eastAsia="仿宋" w:cs="仿宋"/>
          <w:b/>
          <w:bCs w:val="0"/>
          <w:color w:val="000000"/>
          <w:sz w:val="28"/>
          <w:szCs w:val="28"/>
          <w:lang w:val="en-US" w:eastAsia="zh-CN"/>
        </w:rPr>
        <w:t>3</w:t>
      </w:r>
      <w:r>
        <w:rPr>
          <w:rFonts w:hint="eastAsia" w:ascii="仿宋" w:hAnsi="仿宋" w:eastAsia="仿宋" w:cs="仿宋"/>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900" w:lineRule="exact"/>
        <w:ind w:left="0" w:leftChars="0" w:right="0" w:rightChars="0"/>
        <w:jc w:val="both"/>
        <w:textAlignment w:val="auto"/>
        <w:rPr>
          <w:rFonts w:hint="eastAsia" w:ascii="仿宋" w:hAnsi="仿宋" w:eastAsia="仿宋" w:cs="仿宋"/>
          <w:b/>
          <w:bCs w:val="0"/>
          <w:color w:val="000000"/>
          <w:sz w:val="28"/>
          <w:szCs w:val="28"/>
        </w:rPr>
      </w:pPr>
      <w:r>
        <w:rPr>
          <w:rFonts w:hint="eastAsia" w:ascii="仿宋" w:hAnsi="仿宋" w:eastAsia="仿宋" w:cs="仿宋"/>
          <w:b/>
          <w:bCs w:val="0"/>
          <w:color w:val="000000"/>
          <w:sz w:val="28"/>
          <w:szCs w:val="28"/>
          <w:lang w:val="en-US" w:eastAsia="zh-CN"/>
        </w:rPr>
        <w:t xml:space="preserve">  </w:t>
      </w:r>
      <w:r>
        <w:rPr>
          <w:rFonts w:hint="eastAsia" w:ascii="仿宋" w:hAnsi="仿宋" w:eastAsia="仿宋" w:cs="楷体_GB2312"/>
          <w:b/>
          <w:bCs w:val="0"/>
          <w:color w:val="000000"/>
          <w:sz w:val="28"/>
          <w:szCs w:val="28"/>
          <w:lang w:eastAsia="zh-CN"/>
        </w:rPr>
        <w:t>八、园地林地草地定级和基准地价评估服务</w:t>
      </w:r>
      <w:r>
        <w:rPr>
          <w:rFonts w:hint="eastAsia" w:ascii="仿宋" w:hAnsi="仿宋" w:eastAsia="仿宋" w:cs="楷体_GB2312"/>
          <w:b/>
          <w:bCs w:val="0"/>
          <w:color w:val="000000"/>
          <w:sz w:val="28"/>
          <w:szCs w:val="28"/>
          <w:lang w:val="en-US" w:eastAsia="zh-CN"/>
        </w:rPr>
        <w:t>收费</w:t>
      </w:r>
      <w:r>
        <w:rPr>
          <w:rFonts w:hint="eastAsia" w:ascii="仿宋" w:hAnsi="仿宋" w:eastAsia="仿宋" w:cs="楷体_GB2312"/>
          <w:b/>
          <w:bCs w:val="0"/>
          <w:color w:val="000000"/>
          <w:sz w:val="28"/>
          <w:szCs w:val="28"/>
          <w:lang w:eastAsia="zh-CN"/>
        </w:rPr>
        <w:t>情况</w:t>
      </w:r>
      <w:r>
        <w:rPr>
          <w:rFonts w:hint="eastAsia" w:ascii="仿宋" w:hAnsi="仿宋" w:eastAsia="仿宋" w:cs="仿宋"/>
          <w:b/>
          <w:bCs w:val="0"/>
          <w:color w:val="000000"/>
          <w:sz w:val="28"/>
          <w:szCs w:val="28"/>
        </w:rPr>
        <w:t>…………（</w:t>
      </w:r>
      <w:r>
        <w:rPr>
          <w:rFonts w:hint="eastAsia" w:ascii="仿宋" w:hAnsi="仿宋" w:eastAsia="仿宋" w:cs="仿宋"/>
          <w:b/>
          <w:bCs w:val="0"/>
          <w:color w:val="000000"/>
          <w:sz w:val="28"/>
          <w:szCs w:val="28"/>
          <w:lang w:val="en-US" w:eastAsia="zh-CN"/>
        </w:rPr>
        <w:t>4</w:t>
      </w:r>
      <w:r>
        <w:rPr>
          <w:rFonts w:hint="eastAsia" w:ascii="仿宋" w:hAnsi="仿宋" w:eastAsia="仿宋" w:cs="仿宋"/>
          <w:b/>
          <w:bCs w:val="0"/>
          <w:color w:val="000000"/>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900" w:lineRule="exact"/>
        <w:ind w:firstLine="281" w:firstLineChars="100"/>
        <w:jc w:val="left"/>
        <w:textAlignment w:val="auto"/>
        <w:rPr>
          <w:rFonts w:hint="eastAsia" w:ascii="仿宋" w:hAnsi="仿宋" w:eastAsia="仿宋" w:cs="仿宋"/>
          <w:b/>
          <w:bCs w:val="0"/>
          <w:color w:val="000000"/>
          <w:sz w:val="28"/>
          <w:szCs w:val="28"/>
        </w:rPr>
      </w:pPr>
      <w:r>
        <w:rPr>
          <w:rFonts w:hint="eastAsia" w:ascii="仿宋" w:hAnsi="仿宋" w:eastAsia="仿宋" w:cs="楷体"/>
          <w:b/>
          <w:bCs w:val="0"/>
          <w:sz w:val="28"/>
          <w:szCs w:val="28"/>
          <w:lang w:val="en-US" w:eastAsia="zh-CN"/>
        </w:rPr>
        <w:t>九、江西省园地林地草地定级和基准地价评估服务</w:t>
      </w:r>
      <w:r>
        <w:rPr>
          <w:rFonts w:hint="eastAsia" w:ascii="仿宋" w:hAnsi="仿宋" w:eastAsia="仿宋" w:cs="楷体"/>
          <w:b/>
          <w:bCs w:val="0"/>
          <w:sz w:val="28"/>
          <w:szCs w:val="28"/>
          <w:lang w:eastAsia="zh-CN"/>
        </w:rPr>
        <w:t>成测</w:t>
      </w:r>
      <w:r>
        <w:rPr>
          <w:rFonts w:hint="eastAsia" w:ascii="仿宋" w:hAnsi="仿宋" w:eastAsia="仿宋" w:cs="楷体"/>
          <w:b/>
          <w:bCs w:val="0"/>
          <w:sz w:val="28"/>
          <w:szCs w:val="28"/>
          <w:lang w:val="en-US" w:eastAsia="zh-CN"/>
        </w:rPr>
        <w:t>算</w:t>
      </w:r>
      <w:r>
        <w:rPr>
          <w:rFonts w:hint="eastAsia" w:ascii="仿宋" w:hAnsi="仿宋" w:eastAsia="仿宋" w:cs="仿宋"/>
          <w:b/>
          <w:bCs w:val="0"/>
          <w:color w:val="000000"/>
          <w:sz w:val="28"/>
          <w:szCs w:val="28"/>
        </w:rPr>
        <w:t>……（</w:t>
      </w:r>
      <w:r>
        <w:rPr>
          <w:rFonts w:hint="eastAsia" w:ascii="仿宋" w:hAnsi="仿宋" w:eastAsia="仿宋" w:cs="仿宋"/>
          <w:b/>
          <w:bCs w:val="0"/>
          <w:color w:val="000000"/>
          <w:sz w:val="28"/>
          <w:szCs w:val="28"/>
          <w:lang w:val="en-US" w:eastAsia="zh-CN"/>
        </w:rPr>
        <w:t>9</w:t>
      </w:r>
      <w:r>
        <w:rPr>
          <w:rFonts w:hint="eastAsia" w:ascii="仿宋" w:hAnsi="仿宋" w:eastAsia="仿宋" w:cs="仿宋"/>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900" w:lineRule="exact"/>
        <w:ind w:left="0" w:leftChars="0" w:right="0" w:rightChars="0"/>
        <w:jc w:val="both"/>
        <w:textAlignment w:val="auto"/>
        <w:rPr>
          <w:rFonts w:hint="eastAsia" w:ascii="仿宋" w:hAnsi="仿宋" w:eastAsia="仿宋" w:cs="仿宋"/>
          <w:b w:val="0"/>
          <w:bCs/>
          <w:color w:val="000000"/>
          <w:sz w:val="24"/>
          <w:szCs w:val="24"/>
        </w:rPr>
      </w:pPr>
      <w:r>
        <w:rPr>
          <w:rFonts w:hint="eastAsia" w:ascii="仿宋" w:hAnsi="仿宋" w:eastAsia="仿宋" w:cs="仿宋"/>
          <w:b/>
          <w:bCs w:val="0"/>
          <w:color w:val="000000"/>
          <w:sz w:val="28"/>
          <w:szCs w:val="28"/>
          <w:lang w:val="en-US" w:eastAsia="zh-CN"/>
        </w:rPr>
        <w:t xml:space="preserve">  十、调研结论</w:t>
      </w:r>
      <w:r>
        <w:rPr>
          <w:rFonts w:hint="eastAsia" w:ascii="仿宋" w:hAnsi="仿宋" w:eastAsia="仿宋" w:cs="仿宋"/>
          <w:b/>
          <w:bCs w:val="0"/>
          <w:color w:val="000000"/>
          <w:sz w:val="28"/>
          <w:szCs w:val="28"/>
        </w:rPr>
        <w:t>………………………………………………………（</w:t>
      </w:r>
      <w:r>
        <w:rPr>
          <w:rFonts w:hint="eastAsia" w:ascii="仿宋" w:hAnsi="仿宋" w:eastAsia="仿宋" w:cs="仿宋"/>
          <w:b/>
          <w:bCs w:val="0"/>
          <w:color w:val="000000"/>
          <w:sz w:val="28"/>
          <w:szCs w:val="28"/>
          <w:lang w:val="en-US" w:eastAsia="zh-CN"/>
        </w:rPr>
        <w:t>17</w:t>
      </w:r>
      <w:r>
        <w:rPr>
          <w:rFonts w:hint="eastAsia" w:ascii="仿宋" w:hAnsi="仿宋" w:eastAsia="仿宋" w:cs="仿宋"/>
          <w:b/>
          <w:bCs w:val="0"/>
          <w:color w:val="000000"/>
          <w:sz w:val="28"/>
          <w:szCs w:val="28"/>
        </w:rPr>
        <w:t>）</w:t>
      </w:r>
    </w:p>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rPr>
          <w:rFonts w:hint="eastAsia" w:ascii="楷体" w:hAnsi="楷体" w:eastAsia="楷体" w:cs="楷体"/>
          <w:b/>
          <w:bCs/>
          <w:color w:val="000000"/>
          <w:sz w:val="36"/>
          <w:szCs w:val="36"/>
        </w:rPr>
      </w:pPr>
    </w:p>
    <w:p>
      <w:pPr>
        <w:spacing w:line="0" w:lineRule="atLeast"/>
        <w:jc w:val="center"/>
        <w:rPr>
          <w:rFonts w:hint="eastAsia" w:ascii="宋体" w:hAnsi="宋体" w:eastAsia="宋体" w:cs="楷体"/>
          <w:b/>
          <w:bCs/>
          <w:sz w:val="44"/>
          <w:szCs w:val="44"/>
          <w:lang w:eastAsia="zh-CN"/>
        </w:rPr>
      </w:pPr>
    </w:p>
    <w:p>
      <w:pPr>
        <w:spacing w:line="0" w:lineRule="atLeast"/>
        <w:jc w:val="center"/>
        <w:rPr>
          <w:rFonts w:hint="eastAsia" w:ascii="宋体" w:hAnsi="宋体" w:eastAsia="宋体" w:cs="楷体"/>
          <w:b/>
          <w:bCs/>
          <w:sz w:val="44"/>
          <w:szCs w:val="44"/>
          <w:lang w:eastAsia="zh-CN"/>
        </w:rPr>
      </w:pPr>
    </w:p>
    <w:p>
      <w:pPr>
        <w:spacing w:line="0" w:lineRule="atLeast"/>
        <w:jc w:val="center"/>
        <w:rPr>
          <w:rFonts w:hint="eastAsia" w:ascii="宋体" w:hAnsi="宋体" w:eastAsia="宋体" w:cs="楷体"/>
          <w:b/>
          <w:bCs/>
          <w:sz w:val="44"/>
          <w:szCs w:val="44"/>
          <w:lang w:eastAsia="zh-CN"/>
        </w:rPr>
      </w:pPr>
    </w:p>
    <w:p>
      <w:pPr>
        <w:spacing w:line="0" w:lineRule="atLeast"/>
        <w:jc w:val="center"/>
        <w:rPr>
          <w:rFonts w:hint="eastAsia" w:ascii="宋体" w:hAnsi="宋体" w:eastAsia="宋体" w:cs="楷体"/>
          <w:b/>
          <w:bCs/>
          <w:sz w:val="44"/>
          <w:szCs w:val="44"/>
          <w:lang w:eastAsia="zh-CN"/>
        </w:rPr>
      </w:pPr>
    </w:p>
    <w:p>
      <w:pPr>
        <w:numPr>
          <w:ilvl w:val="0"/>
          <w:numId w:val="1"/>
        </w:numPr>
        <w:spacing w:line="360" w:lineRule="auto"/>
        <w:ind w:firstLine="562" w:firstLineChars="200"/>
        <w:rPr>
          <w:rFonts w:ascii="仿宋" w:hAnsi="仿宋" w:eastAsia="仿宋" w:cs="楷体_GB2312"/>
          <w:b/>
          <w:color w:val="000000"/>
          <w:sz w:val="28"/>
          <w:szCs w:val="28"/>
        </w:rPr>
        <w:sectPr>
          <w:footerReference r:id="rId3" w:type="default"/>
          <w:pgSz w:w="11911" w:h="16838"/>
          <w:pgMar w:top="1502" w:right="1259" w:bottom="1179" w:left="1417" w:header="0" w:footer="992" w:gutter="0"/>
          <w:pgBorders>
            <w:top w:val="none" w:sz="0" w:space="0"/>
            <w:left w:val="none" w:sz="0" w:space="0"/>
            <w:bottom w:val="none" w:sz="0" w:space="0"/>
            <w:right w:val="none" w:sz="0" w:space="0"/>
          </w:pgBorders>
          <w:pgNumType w:start="1"/>
          <w:cols w:space="0" w:num="1"/>
          <w:rtlGutter w:val="0"/>
          <w:docGrid w:linePitch="319" w:charSpace="0"/>
        </w:sectPr>
      </w:pPr>
    </w:p>
    <w:p>
      <w:pPr>
        <w:numPr>
          <w:ilvl w:val="0"/>
          <w:numId w:val="1"/>
        </w:numPr>
        <w:spacing w:line="360" w:lineRule="auto"/>
        <w:ind w:firstLine="562" w:firstLineChars="200"/>
        <w:rPr>
          <w:rFonts w:ascii="仿宋" w:hAnsi="仿宋" w:eastAsia="仿宋" w:cs="楷体_GB2312"/>
          <w:b/>
          <w:color w:val="000000"/>
          <w:sz w:val="28"/>
          <w:szCs w:val="28"/>
        </w:rPr>
      </w:pPr>
      <w:r>
        <w:rPr>
          <w:rFonts w:hint="eastAsia" w:ascii="仿宋" w:hAnsi="仿宋" w:eastAsia="仿宋" w:cs="楷体_GB2312"/>
          <w:b/>
          <w:color w:val="000000"/>
          <w:sz w:val="28"/>
          <w:szCs w:val="28"/>
        </w:rPr>
        <w:t>调研背景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lang w:eastAsia="zh-CN"/>
        </w:rPr>
      </w:pPr>
      <w:r>
        <w:rPr>
          <w:rFonts w:hint="eastAsia" w:ascii="仿宋" w:hAnsi="仿宋" w:eastAsia="仿宋" w:cs="仿宋"/>
          <w:bCs/>
          <w:sz w:val="24"/>
          <w:szCs w:val="24"/>
          <w:lang w:eastAsia="zh-CN"/>
        </w:rPr>
        <w:t>园地、林地、草地定级及基准地价制定是自然资源资产管理的基础性、保障性工作，是自然资源部门履行</w:t>
      </w:r>
      <w:r>
        <w:rPr>
          <w:rFonts w:hint="default" w:ascii="仿宋" w:hAnsi="仿宋" w:eastAsia="仿宋" w:cs="仿宋"/>
          <w:bCs/>
          <w:sz w:val="24"/>
          <w:szCs w:val="24"/>
          <w:lang w:eastAsia="zh-CN"/>
        </w:rPr>
        <w:t>“两统一”职责的内在要求。开展园、林、草地分等定级工作是深入贯彻落实党中央、国务院关于加强自然资源资产管理的重要手段，是完善自然资源资产分等定级价格评估制度的关键环节，是自然资源管理部门的职责所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Cs/>
          <w:sz w:val="24"/>
          <w:szCs w:val="24"/>
          <w:lang w:val="en-US" w:eastAsia="zh-CN"/>
        </w:rPr>
      </w:pPr>
      <w:r>
        <w:rPr>
          <w:rFonts w:hint="default" w:ascii="仿宋" w:hAnsi="仿宋" w:eastAsia="仿宋" w:cs="仿宋"/>
          <w:bCs/>
          <w:sz w:val="24"/>
          <w:szCs w:val="24"/>
          <w:lang w:eastAsia="zh-CN"/>
        </w:rPr>
        <w:t>2023年3月6日，自然资源部办公厅下发《关于做好园地林地草地定级和基准地价制定有关工作的通知》（自然资办函〔2023〕399号），提出了制定园地林地草地定级和基准地价的重要意义，</w:t>
      </w:r>
      <w:r>
        <w:rPr>
          <w:rFonts w:hint="eastAsia" w:ascii="仿宋" w:hAnsi="仿宋" w:eastAsia="仿宋" w:cs="仿宋"/>
          <w:bCs/>
          <w:sz w:val="24"/>
          <w:szCs w:val="24"/>
          <w:lang w:eastAsia="zh-CN"/>
        </w:rPr>
        <w:t>并提出在</w:t>
      </w:r>
      <w:r>
        <w:rPr>
          <w:rFonts w:hint="eastAsia" w:ascii="仿宋" w:hAnsi="仿宋" w:eastAsia="仿宋" w:cs="仿宋"/>
          <w:bCs/>
          <w:sz w:val="24"/>
          <w:szCs w:val="24"/>
          <w:lang w:val="en-US" w:eastAsia="zh-CN"/>
        </w:rPr>
        <w:t>2022年全国已基本完成园地林地草地分等的基础上，要求2023年年底前各市县自然资源主管部门要完成园地林地草地定级和基准地价制定工作；2024年6月底前，基准地价经省级自然资源主管部门验收后，由市、县人民政府按程序公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lang w:eastAsia="zh-CN"/>
        </w:rPr>
      </w:pPr>
      <w:r>
        <w:rPr>
          <w:rFonts w:hint="default" w:ascii="仿宋" w:hAnsi="仿宋" w:eastAsia="仿宋" w:cs="仿宋"/>
          <w:bCs/>
          <w:sz w:val="24"/>
          <w:szCs w:val="24"/>
          <w:lang w:eastAsia="zh-CN"/>
        </w:rPr>
        <w:t>自然资源定级和价格评估是自然资源资产管理的重要基础，是深化自然资源市场化配置和自然资源资产产权制度改革的迫切要求。通过园地林地草地定级价格评估，综合评价区域内园地林地草地质量分布状况，显化园地林地草地资源资产质量和价值，直接服务于自然资源有偿使用、资产清查核算、税费管理等工作，有助于加强自然资源保护与合理开发利用，促进生态产品价值实现，推进自然资源管理向数量、质量与生态管护并重转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为了更好的开展</w:t>
      </w:r>
      <w:r>
        <w:rPr>
          <w:rFonts w:hint="default" w:ascii="仿宋" w:hAnsi="仿宋" w:eastAsia="仿宋" w:cs="仿宋"/>
          <w:bCs/>
          <w:sz w:val="24"/>
          <w:szCs w:val="24"/>
          <w:lang w:eastAsia="zh-CN"/>
        </w:rPr>
        <w:t>园地林地草地</w:t>
      </w:r>
      <w:r>
        <w:rPr>
          <w:rFonts w:hint="eastAsia" w:ascii="仿宋" w:hAnsi="仿宋" w:eastAsia="仿宋" w:cs="仿宋"/>
          <w:bCs/>
          <w:sz w:val="24"/>
          <w:szCs w:val="24"/>
          <w:lang w:eastAsia="zh-CN"/>
        </w:rPr>
        <w:t>定级和</w:t>
      </w:r>
      <w:r>
        <w:rPr>
          <w:rFonts w:hint="eastAsia" w:ascii="仿宋" w:hAnsi="仿宋" w:eastAsia="仿宋" w:cs="仿宋"/>
          <w:bCs/>
          <w:sz w:val="24"/>
          <w:szCs w:val="24"/>
          <w:lang w:val="en-US" w:eastAsia="zh-CN"/>
        </w:rPr>
        <w:t>基准地价评估工作，本着</w:t>
      </w:r>
      <w:r>
        <w:rPr>
          <w:rFonts w:hint="eastAsia" w:ascii="仿宋" w:hAnsi="仿宋" w:eastAsia="仿宋" w:cs="仿宋"/>
          <w:bCs/>
          <w:sz w:val="24"/>
          <w:szCs w:val="24"/>
          <w:lang w:eastAsia="zh-CN"/>
        </w:rPr>
        <w:t>服务会员、服务政府、服务社会的</w:t>
      </w:r>
      <w:r>
        <w:rPr>
          <w:rFonts w:hint="eastAsia" w:ascii="仿宋" w:hAnsi="仿宋" w:eastAsia="仿宋" w:cs="仿宋"/>
          <w:bCs/>
          <w:sz w:val="24"/>
          <w:szCs w:val="24"/>
          <w:lang w:val="en-US" w:eastAsia="zh-CN"/>
        </w:rPr>
        <w:t>理念，</w:t>
      </w:r>
      <w:r>
        <w:rPr>
          <w:rFonts w:hint="eastAsia" w:ascii="仿宋" w:hAnsi="仿宋" w:eastAsia="仿宋" w:cs="仿宋"/>
          <w:bCs/>
          <w:sz w:val="24"/>
          <w:szCs w:val="24"/>
          <w:lang w:eastAsia="zh-CN"/>
        </w:rPr>
        <w:t>省协会决定开展</w:t>
      </w:r>
      <w:r>
        <w:rPr>
          <w:rFonts w:hint="eastAsia" w:ascii="仿宋" w:hAnsi="仿宋" w:eastAsia="仿宋" w:cs="仿宋"/>
          <w:bCs/>
          <w:sz w:val="24"/>
          <w:szCs w:val="24"/>
          <w:lang w:val="en-US" w:eastAsia="zh-CN"/>
        </w:rPr>
        <w:t>江西省</w:t>
      </w:r>
      <w:r>
        <w:rPr>
          <w:rFonts w:hint="default" w:ascii="仿宋" w:hAnsi="仿宋" w:eastAsia="仿宋" w:cs="仿宋"/>
          <w:bCs/>
          <w:sz w:val="24"/>
          <w:szCs w:val="24"/>
          <w:lang w:eastAsia="zh-CN"/>
        </w:rPr>
        <w:t>园地</w:t>
      </w:r>
      <w:r>
        <w:rPr>
          <w:rFonts w:hint="eastAsia" w:ascii="仿宋" w:hAnsi="仿宋" w:eastAsia="仿宋" w:cs="仿宋"/>
          <w:bCs/>
          <w:sz w:val="24"/>
          <w:szCs w:val="24"/>
          <w:lang w:eastAsia="zh-CN"/>
        </w:rPr>
        <w:t>、</w:t>
      </w:r>
      <w:r>
        <w:rPr>
          <w:rFonts w:hint="default" w:ascii="仿宋" w:hAnsi="仿宋" w:eastAsia="仿宋" w:cs="仿宋"/>
          <w:bCs/>
          <w:sz w:val="24"/>
          <w:szCs w:val="24"/>
          <w:lang w:eastAsia="zh-CN"/>
        </w:rPr>
        <w:t>林地</w:t>
      </w:r>
      <w:r>
        <w:rPr>
          <w:rFonts w:hint="eastAsia" w:ascii="仿宋" w:hAnsi="仿宋" w:eastAsia="仿宋" w:cs="仿宋"/>
          <w:bCs/>
          <w:sz w:val="24"/>
          <w:szCs w:val="24"/>
          <w:lang w:eastAsia="zh-CN"/>
        </w:rPr>
        <w:t>、</w:t>
      </w:r>
      <w:r>
        <w:rPr>
          <w:rFonts w:hint="default" w:ascii="仿宋" w:hAnsi="仿宋" w:eastAsia="仿宋" w:cs="仿宋"/>
          <w:bCs/>
          <w:sz w:val="24"/>
          <w:szCs w:val="24"/>
          <w:lang w:eastAsia="zh-CN"/>
        </w:rPr>
        <w:t>草地</w:t>
      </w:r>
      <w:r>
        <w:rPr>
          <w:rFonts w:hint="eastAsia" w:ascii="仿宋" w:hAnsi="仿宋" w:eastAsia="仿宋" w:cs="仿宋"/>
          <w:bCs/>
          <w:sz w:val="24"/>
          <w:szCs w:val="24"/>
          <w:lang w:val="en-US" w:eastAsia="zh-CN"/>
        </w:rPr>
        <w:t>基准地价</w:t>
      </w:r>
      <w:r>
        <w:rPr>
          <w:rFonts w:hint="eastAsia" w:ascii="仿宋" w:hAnsi="仿宋" w:eastAsia="仿宋" w:cs="仿宋"/>
          <w:bCs/>
          <w:sz w:val="24"/>
          <w:szCs w:val="24"/>
          <w:lang w:eastAsia="zh-CN"/>
        </w:rPr>
        <w:t>评估服务成本调研。</w:t>
      </w:r>
    </w:p>
    <w:p>
      <w:pPr>
        <w:numPr>
          <w:ilvl w:val="0"/>
          <w:numId w:val="0"/>
        </w:numPr>
        <w:spacing w:line="360" w:lineRule="auto"/>
        <w:ind w:firstLine="562" w:firstLineChars="200"/>
        <w:jc w:val="left"/>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二、</w:t>
      </w:r>
      <w:r>
        <w:rPr>
          <w:rFonts w:hint="eastAsia" w:ascii="仿宋" w:hAnsi="仿宋" w:eastAsia="仿宋" w:cs="仿宋"/>
          <w:b/>
          <w:color w:val="000000"/>
          <w:sz w:val="28"/>
          <w:szCs w:val="28"/>
        </w:rPr>
        <w:t>调研目的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1、调查了解目前江西省及其他省市园地草地林地定级和基准地价评估收费（收费（预算））情况；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2、</w:t>
      </w:r>
      <w:r>
        <w:rPr>
          <w:rFonts w:hint="eastAsia" w:ascii="仿宋" w:hAnsi="仿宋" w:eastAsia="仿宋" w:cs="仿宋"/>
          <w:bCs/>
          <w:sz w:val="24"/>
          <w:szCs w:val="24"/>
          <w:lang w:eastAsia="zh-CN"/>
        </w:rPr>
        <w:t>调查、测算</w:t>
      </w:r>
      <w:r>
        <w:rPr>
          <w:rFonts w:hint="eastAsia" w:ascii="仿宋" w:hAnsi="仿宋" w:eastAsia="仿宋" w:cs="仿宋"/>
          <w:bCs/>
          <w:sz w:val="24"/>
          <w:szCs w:val="24"/>
          <w:lang w:val="en-US" w:eastAsia="zh-CN"/>
        </w:rPr>
        <w:t>江西省园地草地林地定级和基准地价评估</w:t>
      </w:r>
      <w:r>
        <w:rPr>
          <w:rFonts w:hint="eastAsia" w:ascii="仿宋" w:hAnsi="仿宋" w:eastAsia="仿宋" w:cs="仿宋"/>
          <w:bCs/>
          <w:sz w:val="24"/>
          <w:szCs w:val="24"/>
          <w:lang w:eastAsia="zh-CN"/>
        </w:rPr>
        <w:t>服务成本。</w:t>
      </w:r>
    </w:p>
    <w:p>
      <w:pPr>
        <w:numPr>
          <w:ilvl w:val="0"/>
          <w:numId w:val="0"/>
        </w:numPr>
        <w:spacing w:line="360" w:lineRule="auto"/>
        <w:ind w:firstLine="562" w:firstLineChars="200"/>
        <w:jc w:val="left"/>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三、</w:t>
      </w:r>
      <w:r>
        <w:rPr>
          <w:rFonts w:hint="eastAsia" w:ascii="仿宋" w:hAnsi="仿宋" w:eastAsia="仿宋" w:cs="仿宋"/>
          <w:b/>
          <w:color w:val="000000"/>
          <w:sz w:val="28"/>
          <w:szCs w:val="28"/>
        </w:rPr>
        <w:t>调研对象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根据本次调研目的，确定本次调研的对象主要包含以下几方面：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w:t>
      </w:r>
      <w:r>
        <w:rPr>
          <w:rFonts w:hint="eastAsia" w:ascii="仿宋" w:hAnsi="仿宋" w:eastAsia="仿宋" w:cs="仿宋"/>
          <w:bCs/>
          <w:color w:val="000000"/>
          <w:sz w:val="24"/>
          <w:szCs w:val="24"/>
          <w:lang w:val="en-US" w:eastAsia="zh-CN"/>
        </w:rPr>
        <w:t>江西省部分高校，主要为具有</w:t>
      </w:r>
      <w:r>
        <w:rPr>
          <w:rFonts w:hint="default" w:ascii="仿宋" w:hAnsi="仿宋" w:eastAsia="仿宋" w:cs="仿宋"/>
          <w:bCs/>
          <w:sz w:val="24"/>
          <w:szCs w:val="24"/>
        </w:rPr>
        <w:t>园地林地草地</w:t>
      </w:r>
      <w:r>
        <w:rPr>
          <w:rFonts w:hint="eastAsia" w:ascii="仿宋" w:hAnsi="仿宋" w:eastAsia="仿宋" w:cs="仿宋"/>
          <w:bCs/>
          <w:sz w:val="24"/>
          <w:szCs w:val="24"/>
          <w:lang w:eastAsia="zh-CN"/>
        </w:rPr>
        <w:t>（或类似农用地）定级和基准地价</w:t>
      </w:r>
      <w:r>
        <w:rPr>
          <w:rFonts w:hint="eastAsia" w:ascii="仿宋" w:hAnsi="仿宋" w:eastAsia="仿宋" w:cs="仿宋"/>
          <w:bCs/>
          <w:sz w:val="24"/>
          <w:szCs w:val="24"/>
          <w:lang w:val="en-US" w:eastAsia="zh-CN"/>
        </w:rPr>
        <w:t>评估工作经验的高校；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w:t>
      </w:r>
      <w:r>
        <w:rPr>
          <w:rFonts w:hint="eastAsia" w:ascii="仿宋" w:hAnsi="仿宋" w:eastAsia="仿宋" w:cs="仿宋"/>
          <w:bCs/>
          <w:color w:val="000000"/>
          <w:sz w:val="24"/>
          <w:szCs w:val="24"/>
          <w:lang w:val="en-US" w:eastAsia="zh-CN"/>
        </w:rPr>
        <w:t>江西省评估机构，主要为具有</w:t>
      </w:r>
      <w:r>
        <w:rPr>
          <w:rFonts w:hint="default" w:ascii="仿宋" w:hAnsi="仿宋" w:eastAsia="仿宋" w:cs="仿宋"/>
          <w:bCs/>
          <w:sz w:val="24"/>
          <w:szCs w:val="24"/>
        </w:rPr>
        <w:t>园地林地草地</w:t>
      </w:r>
      <w:r>
        <w:rPr>
          <w:rFonts w:hint="eastAsia" w:ascii="仿宋" w:hAnsi="仿宋" w:eastAsia="仿宋" w:cs="仿宋"/>
          <w:bCs/>
          <w:sz w:val="24"/>
          <w:szCs w:val="24"/>
          <w:lang w:eastAsia="zh-CN"/>
        </w:rPr>
        <w:t>（或类似农用地）定级和基准地价</w:t>
      </w:r>
      <w:r>
        <w:rPr>
          <w:rFonts w:hint="eastAsia" w:ascii="仿宋" w:hAnsi="仿宋" w:eastAsia="仿宋" w:cs="仿宋"/>
          <w:bCs/>
          <w:sz w:val="24"/>
          <w:szCs w:val="24"/>
          <w:lang w:val="en-US" w:eastAsia="zh-CN"/>
        </w:rPr>
        <w:t>评估工作经验的评估机构；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3、</w:t>
      </w:r>
      <w:r>
        <w:rPr>
          <w:rFonts w:hint="eastAsia" w:ascii="仿宋" w:hAnsi="仿宋" w:eastAsia="仿宋" w:cs="仿宋"/>
          <w:bCs/>
          <w:color w:val="000000"/>
          <w:sz w:val="24"/>
          <w:szCs w:val="24"/>
          <w:lang w:val="en-US" w:eastAsia="zh-CN"/>
        </w:rPr>
        <w:t>其他具有</w:t>
      </w:r>
      <w:r>
        <w:rPr>
          <w:rFonts w:hint="default" w:ascii="仿宋" w:hAnsi="仿宋" w:eastAsia="仿宋" w:cs="仿宋"/>
          <w:bCs/>
          <w:sz w:val="24"/>
          <w:szCs w:val="24"/>
        </w:rPr>
        <w:t>园地林地草地</w:t>
      </w:r>
      <w:r>
        <w:rPr>
          <w:rFonts w:hint="eastAsia" w:ascii="仿宋" w:hAnsi="仿宋" w:eastAsia="仿宋" w:cs="仿宋"/>
          <w:bCs/>
          <w:sz w:val="24"/>
          <w:szCs w:val="24"/>
          <w:lang w:eastAsia="zh-CN"/>
        </w:rPr>
        <w:t>（或类似农用地）定级和基准地价</w:t>
      </w:r>
      <w:r>
        <w:rPr>
          <w:rFonts w:hint="eastAsia" w:ascii="仿宋" w:hAnsi="仿宋" w:eastAsia="仿宋" w:cs="仿宋"/>
          <w:bCs/>
          <w:sz w:val="24"/>
          <w:szCs w:val="24"/>
          <w:lang w:val="en-US" w:eastAsia="zh-CN"/>
        </w:rPr>
        <w:t>评估工作经验的机构或单位；</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4、其他省市协会。</w:t>
      </w:r>
    </w:p>
    <w:p>
      <w:pPr>
        <w:numPr>
          <w:ilvl w:val="0"/>
          <w:numId w:val="0"/>
        </w:numPr>
        <w:spacing w:line="360" w:lineRule="auto"/>
        <w:ind w:firstLine="562" w:firstLineChars="200"/>
        <w:jc w:val="left"/>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四、</w:t>
      </w:r>
      <w:r>
        <w:rPr>
          <w:rFonts w:hint="eastAsia" w:ascii="仿宋" w:hAnsi="仿宋" w:eastAsia="仿宋" w:cs="仿宋"/>
          <w:b/>
          <w:color w:val="000000"/>
          <w:sz w:val="28"/>
          <w:szCs w:val="28"/>
        </w:rPr>
        <w:t>调研内容</w:t>
      </w:r>
    </w:p>
    <w:p>
      <w:pPr>
        <w:spacing w:line="360" w:lineRule="auto"/>
        <w:ind w:left="420" w:leftChars="200"/>
        <w:jc w:val="left"/>
        <w:rPr>
          <w:rFonts w:hint="eastAsia" w:ascii="仿宋" w:hAnsi="仿宋" w:eastAsia="仿宋" w:cs="仿宋"/>
          <w:bCs/>
          <w:sz w:val="24"/>
          <w:szCs w:val="24"/>
        </w:rPr>
      </w:pPr>
      <w:r>
        <w:rPr>
          <w:rFonts w:hint="eastAsia" w:ascii="仿宋" w:hAnsi="仿宋" w:eastAsia="仿宋" w:cs="仿宋"/>
          <w:bCs/>
          <w:color w:val="000000"/>
          <w:sz w:val="24"/>
          <w:szCs w:val="24"/>
          <w:lang w:val="en-US" w:eastAsia="zh-CN"/>
        </w:rPr>
        <w:t xml:space="preserve">  </w:t>
      </w:r>
      <w:r>
        <w:rPr>
          <w:rFonts w:hint="eastAsia" w:ascii="仿宋" w:hAnsi="仿宋" w:eastAsia="仿宋" w:cs="仿宋"/>
          <w:bCs/>
          <w:sz w:val="24"/>
          <w:szCs w:val="24"/>
        </w:rPr>
        <w:t>为达到本次调研目的，</w:t>
      </w:r>
      <w:r>
        <w:rPr>
          <w:rFonts w:hint="eastAsia" w:ascii="仿宋" w:hAnsi="仿宋" w:eastAsia="仿宋" w:cs="仿宋"/>
          <w:bCs/>
          <w:sz w:val="24"/>
          <w:szCs w:val="24"/>
          <w:lang w:eastAsia="zh-CN"/>
        </w:rPr>
        <w:t>本次</w:t>
      </w:r>
      <w:r>
        <w:rPr>
          <w:rFonts w:hint="eastAsia" w:ascii="仿宋" w:hAnsi="仿宋" w:eastAsia="仿宋" w:cs="仿宋"/>
          <w:bCs/>
          <w:sz w:val="24"/>
          <w:szCs w:val="24"/>
        </w:rPr>
        <w:t>调研的内容主要包含以下几方面：</w:t>
      </w:r>
    </w:p>
    <w:p>
      <w:pPr>
        <w:numPr>
          <w:ilvl w:val="0"/>
          <w:numId w:val="0"/>
        </w:numPr>
        <w:spacing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调查目前</w:t>
      </w:r>
      <w:r>
        <w:rPr>
          <w:rFonts w:hint="eastAsia" w:ascii="仿宋" w:hAnsi="仿宋" w:eastAsia="仿宋" w:cs="仿宋"/>
          <w:bCs/>
          <w:sz w:val="24"/>
          <w:szCs w:val="24"/>
          <w:lang w:eastAsia="zh-CN"/>
        </w:rPr>
        <w:t>江西省园地林地草地</w:t>
      </w:r>
      <w:r>
        <w:rPr>
          <w:rFonts w:hint="eastAsia" w:ascii="仿宋" w:hAnsi="仿宋" w:eastAsia="仿宋" w:cs="仿宋"/>
          <w:bCs/>
          <w:sz w:val="24"/>
          <w:szCs w:val="24"/>
          <w:lang w:val="en-US" w:eastAsia="zh-CN"/>
        </w:rPr>
        <w:t>定级和</w:t>
      </w:r>
      <w:r>
        <w:rPr>
          <w:rFonts w:hint="eastAsia" w:ascii="仿宋" w:hAnsi="仿宋" w:eastAsia="仿宋" w:cs="仿宋"/>
          <w:bCs/>
          <w:sz w:val="24"/>
          <w:szCs w:val="24"/>
          <w:lang w:eastAsia="zh-CN"/>
        </w:rPr>
        <w:t>基准地价评估</w:t>
      </w:r>
      <w:r>
        <w:rPr>
          <w:rFonts w:hint="eastAsia" w:ascii="仿宋" w:hAnsi="仿宋" w:eastAsia="仿宋" w:cs="仿宋"/>
          <w:bCs/>
          <w:sz w:val="24"/>
          <w:szCs w:val="24"/>
        </w:rPr>
        <w:t>收费</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收费（预算）</w:t>
      </w:r>
      <w:r>
        <w:rPr>
          <w:rFonts w:hint="eastAsia" w:ascii="仿宋" w:hAnsi="仿宋" w:eastAsia="仿宋" w:cs="仿宋"/>
          <w:bCs/>
          <w:sz w:val="24"/>
          <w:szCs w:val="24"/>
          <w:lang w:eastAsia="zh-CN"/>
        </w:rPr>
        <w:t>）</w:t>
      </w:r>
      <w:r>
        <w:rPr>
          <w:rFonts w:hint="eastAsia" w:ascii="仿宋" w:hAnsi="仿宋" w:eastAsia="仿宋" w:cs="仿宋"/>
          <w:bCs/>
          <w:sz w:val="24"/>
          <w:szCs w:val="24"/>
        </w:rPr>
        <w:t>情况；</w:t>
      </w:r>
    </w:p>
    <w:p>
      <w:pPr>
        <w:numPr>
          <w:ilvl w:val="0"/>
          <w:numId w:val="0"/>
        </w:numPr>
        <w:spacing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hint="eastAsia" w:ascii="仿宋" w:hAnsi="仿宋" w:eastAsia="仿宋" w:cs="仿宋"/>
          <w:bCs/>
          <w:sz w:val="24"/>
          <w:szCs w:val="24"/>
        </w:rPr>
        <w:t>调查</w:t>
      </w:r>
      <w:r>
        <w:rPr>
          <w:rFonts w:hint="eastAsia" w:ascii="仿宋" w:hAnsi="仿宋" w:eastAsia="仿宋" w:cs="仿宋"/>
          <w:bCs/>
          <w:sz w:val="24"/>
          <w:szCs w:val="24"/>
          <w:lang w:eastAsia="zh-CN"/>
        </w:rPr>
        <w:t>江西省园地林地草地</w:t>
      </w:r>
      <w:r>
        <w:rPr>
          <w:rFonts w:hint="eastAsia" w:ascii="仿宋" w:hAnsi="仿宋" w:eastAsia="仿宋" w:cs="仿宋"/>
          <w:bCs/>
          <w:sz w:val="24"/>
          <w:szCs w:val="24"/>
          <w:lang w:val="en-US" w:eastAsia="zh-CN"/>
        </w:rPr>
        <w:t>定级和</w:t>
      </w:r>
      <w:r>
        <w:rPr>
          <w:rFonts w:hint="eastAsia" w:ascii="仿宋" w:hAnsi="仿宋" w:eastAsia="仿宋" w:cs="仿宋"/>
          <w:bCs/>
          <w:sz w:val="24"/>
          <w:szCs w:val="24"/>
          <w:lang w:eastAsia="zh-CN"/>
        </w:rPr>
        <w:t>基准地价评估</w:t>
      </w:r>
      <w:r>
        <w:rPr>
          <w:rFonts w:hint="eastAsia" w:ascii="仿宋" w:hAnsi="仿宋" w:eastAsia="仿宋" w:cs="仿宋"/>
          <w:bCs/>
          <w:sz w:val="24"/>
          <w:szCs w:val="24"/>
        </w:rPr>
        <w:t>服务成本构成及金额；</w:t>
      </w:r>
    </w:p>
    <w:p>
      <w:pPr>
        <w:numPr>
          <w:ilvl w:val="0"/>
          <w:numId w:val="0"/>
        </w:numPr>
        <w:spacing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hint="eastAsia" w:ascii="仿宋" w:hAnsi="仿宋" w:eastAsia="仿宋" w:cs="仿宋"/>
          <w:bCs/>
          <w:sz w:val="24"/>
          <w:szCs w:val="24"/>
        </w:rPr>
        <w:t>调查国内其他省市</w:t>
      </w:r>
      <w:r>
        <w:rPr>
          <w:rFonts w:hint="eastAsia" w:ascii="仿宋" w:hAnsi="仿宋" w:eastAsia="仿宋" w:cs="仿宋"/>
          <w:bCs/>
          <w:color w:val="000000"/>
          <w:sz w:val="24"/>
          <w:szCs w:val="24"/>
          <w:lang w:eastAsia="zh-CN"/>
        </w:rPr>
        <w:t>园地林地草地</w:t>
      </w:r>
      <w:r>
        <w:rPr>
          <w:rFonts w:hint="eastAsia" w:ascii="仿宋" w:hAnsi="仿宋" w:eastAsia="仿宋" w:cs="仿宋"/>
          <w:bCs/>
          <w:color w:val="000000"/>
          <w:sz w:val="24"/>
          <w:szCs w:val="24"/>
          <w:lang w:val="en-US" w:eastAsia="zh-CN"/>
        </w:rPr>
        <w:t>定级和基准地价评估</w:t>
      </w:r>
      <w:r>
        <w:rPr>
          <w:rFonts w:hint="eastAsia" w:ascii="仿宋" w:hAnsi="仿宋" w:eastAsia="仿宋" w:cs="仿宋"/>
          <w:bCs/>
          <w:sz w:val="24"/>
          <w:szCs w:val="24"/>
        </w:rPr>
        <w:t>收费</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收费（预算）</w:t>
      </w:r>
      <w:r>
        <w:rPr>
          <w:rFonts w:hint="eastAsia" w:ascii="仿宋" w:hAnsi="仿宋" w:eastAsia="仿宋" w:cs="仿宋"/>
          <w:bCs/>
          <w:sz w:val="24"/>
          <w:szCs w:val="24"/>
          <w:lang w:eastAsia="zh-CN"/>
        </w:rPr>
        <w:t>）情况</w:t>
      </w:r>
      <w:r>
        <w:rPr>
          <w:rFonts w:hint="eastAsia" w:ascii="仿宋" w:hAnsi="仿宋" w:eastAsia="仿宋" w:cs="仿宋"/>
          <w:bCs/>
          <w:sz w:val="24"/>
          <w:szCs w:val="24"/>
        </w:rPr>
        <w:t>。</w:t>
      </w:r>
    </w:p>
    <w:p>
      <w:pPr>
        <w:numPr>
          <w:ilvl w:val="0"/>
          <w:numId w:val="0"/>
        </w:numPr>
        <w:spacing w:line="360" w:lineRule="auto"/>
        <w:ind w:firstLine="562" w:firstLineChars="200"/>
        <w:jc w:val="left"/>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五、</w:t>
      </w:r>
      <w:r>
        <w:rPr>
          <w:rFonts w:hint="eastAsia" w:ascii="仿宋" w:hAnsi="仿宋" w:eastAsia="仿宋" w:cs="仿宋"/>
          <w:b/>
          <w:color w:val="000000"/>
          <w:sz w:val="28"/>
          <w:szCs w:val="28"/>
        </w:rPr>
        <w:t>调研方法</w:t>
      </w:r>
    </w:p>
    <w:p>
      <w:pPr>
        <w:spacing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lang w:eastAsia="zh-CN"/>
        </w:rPr>
        <w:t>问卷调查</w:t>
      </w:r>
      <w:r>
        <w:rPr>
          <w:rFonts w:hint="eastAsia" w:ascii="仿宋" w:hAnsi="仿宋" w:eastAsia="仿宋" w:cs="仿宋"/>
          <w:bCs/>
          <w:sz w:val="24"/>
          <w:szCs w:val="24"/>
        </w:rPr>
        <w:t>法</w:t>
      </w:r>
    </w:p>
    <w:p>
      <w:pPr>
        <w:spacing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lang w:eastAsia="zh-CN"/>
        </w:rPr>
        <w:t>向承担过园地林地草地（或类似农用地）定级和基准地价评估的机构，进行调查。</w:t>
      </w:r>
      <w:r>
        <w:rPr>
          <w:rFonts w:hint="eastAsia" w:ascii="仿宋" w:hAnsi="仿宋" w:eastAsia="仿宋" w:cs="仿宋"/>
          <w:bCs/>
          <w:sz w:val="24"/>
          <w:szCs w:val="24"/>
        </w:rPr>
        <w:t>即间接的书面访问，该法最大优点是能突破时空的限制，在广阔的范围内，对众多的调查对象同时进行调查，适用于对现时问题、较大样本、较短时期、相对简单的调查，被调查对象应有一定文字理解能力和表达能力。</w:t>
      </w:r>
    </w:p>
    <w:p>
      <w:pPr>
        <w:spacing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hint="eastAsia" w:ascii="仿宋" w:hAnsi="仿宋" w:eastAsia="仿宋" w:cs="仿宋"/>
          <w:bCs/>
          <w:sz w:val="24"/>
          <w:szCs w:val="24"/>
        </w:rPr>
        <w:t>统计</w:t>
      </w:r>
      <w:r>
        <w:rPr>
          <w:rFonts w:hint="eastAsia" w:ascii="仿宋" w:hAnsi="仿宋" w:eastAsia="仿宋" w:cs="仿宋"/>
          <w:bCs/>
          <w:sz w:val="24"/>
          <w:szCs w:val="24"/>
          <w:lang w:eastAsia="zh-CN"/>
        </w:rPr>
        <w:t>调查</w:t>
      </w:r>
      <w:r>
        <w:rPr>
          <w:rFonts w:hint="eastAsia" w:ascii="仿宋" w:hAnsi="仿宋" w:eastAsia="仿宋" w:cs="仿宋"/>
          <w:bCs/>
          <w:sz w:val="24"/>
          <w:szCs w:val="24"/>
        </w:rPr>
        <w:t>法</w:t>
      </w:r>
    </w:p>
    <w:p>
      <w:pPr>
        <w:spacing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通过分析固定统计报表的形式，把下边的情况反映上来的一种调查方法。</w:t>
      </w:r>
    </w:p>
    <w:p>
      <w:pPr>
        <w:spacing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hint="eastAsia" w:ascii="仿宋" w:hAnsi="仿宋" w:eastAsia="仿宋" w:cs="仿宋"/>
          <w:bCs/>
          <w:sz w:val="24"/>
          <w:szCs w:val="24"/>
          <w:lang w:eastAsia="zh-CN"/>
        </w:rPr>
        <w:t>访谈调查</w:t>
      </w:r>
      <w:r>
        <w:rPr>
          <w:rFonts w:hint="eastAsia" w:ascii="仿宋" w:hAnsi="仿宋" w:eastAsia="仿宋" w:cs="仿宋"/>
          <w:bCs/>
          <w:sz w:val="24"/>
          <w:szCs w:val="24"/>
        </w:rPr>
        <w:t>法</w:t>
      </w:r>
    </w:p>
    <w:p>
      <w:pPr>
        <w:spacing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调查员通过与调查对象进行交谈，收集口头资料的一种调查方法。</w:t>
      </w:r>
    </w:p>
    <w:p>
      <w:pPr>
        <w:spacing w:line="360" w:lineRule="auto"/>
        <w:ind w:firstLine="480" w:firstLineChars="200"/>
        <w:jc w:val="left"/>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4、</w:t>
      </w:r>
      <w:r>
        <w:rPr>
          <w:rFonts w:hint="eastAsia" w:ascii="仿宋" w:hAnsi="仿宋" w:eastAsia="仿宋" w:cs="仿宋"/>
          <w:bCs/>
          <w:sz w:val="24"/>
          <w:szCs w:val="24"/>
        </w:rPr>
        <w:t>会议调查法</w:t>
      </w:r>
    </w:p>
    <w:p>
      <w:pPr>
        <w:spacing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通过邀请若干调查对象以座谈会形式来搜集资料、分析和研究社会问题。</w:t>
      </w:r>
    </w:p>
    <w:p>
      <w:pPr>
        <w:numPr>
          <w:ilvl w:val="0"/>
          <w:numId w:val="0"/>
        </w:numPr>
        <w:spacing w:line="360" w:lineRule="auto"/>
        <w:ind w:firstLine="562" w:firstLineChars="200"/>
        <w:jc w:val="left"/>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六、</w:t>
      </w:r>
      <w:r>
        <w:rPr>
          <w:rFonts w:hint="eastAsia" w:ascii="仿宋" w:hAnsi="仿宋" w:eastAsia="仿宋" w:cs="仿宋"/>
          <w:b/>
          <w:color w:val="000000"/>
          <w:sz w:val="28"/>
          <w:szCs w:val="28"/>
        </w:rPr>
        <w:t>调研人员安排</w:t>
      </w:r>
    </w:p>
    <w:p>
      <w:pPr>
        <w:spacing w:line="360" w:lineRule="auto"/>
        <w:ind w:firstLine="480" w:firstLineChars="20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CN"/>
        </w:rPr>
        <w:t>江西省自然资源评价评估行业协会</w:t>
      </w:r>
      <w:r>
        <w:rPr>
          <w:rFonts w:hint="eastAsia" w:ascii="仿宋" w:hAnsi="仿宋" w:eastAsia="仿宋" w:cs="仿宋"/>
          <w:bCs/>
          <w:color w:val="000000"/>
          <w:sz w:val="24"/>
          <w:szCs w:val="24"/>
        </w:rPr>
        <w:t>成立了土地评估服务收费成本测算工作小组。成本测算工作小组的名单如下：</w:t>
      </w:r>
    </w:p>
    <w:p>
      <w:pPr>
        <w:spacing w:line="360" w:lineRule="auto"/>
        <w:ind w:firstLine="480" w:firstLineChars="20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CN"/>
        </w:rPr>
        <w:t>组</w:t>
      </w:r>
      <w:r>
        <w:rPr>
          <w:rFonts w:hint="eastAsia" w:ascii="仿宋" w:hAnsi="仿宋" w:eastAsia="仿宋" w:cs="仿宋"/>
          <w:bCs/>
          <w:color w:val="000000"/>
          <w:sz w:val="24"/>
          <w:szCs w:val="24"/>
          <w:lang w:val="en-US" w:eastAsia="zh-CN"/>
        </w:rPr>
        <w:t xml:space="preserve">  </w:t>
      </w:r>
      <w:r>
        <w:rPr>
          <w:rFonts w:hint="eastAsia" w:ascii="仿宋" w:hAnsi="仿宋" w:eastAsia="仿宋" w:cs="仿宋"/>
          <w:bCs/>
          <w:color w:val="000000"/>
          <w:sz w:val="24"/>
          <w:szCs w:val="24"/>
          <w:lang w:eastAsia="zh-CN"/>
        </w:rPr>
        <w:t>长</w:t>
      </w:r>
      <w:r>
        <w:rPr>
          <w:rFonts w:hint="eastAsia" w:ascii="仿宋" w:hAnsi="仿宋" w:eastAsia="仿宋" w:cs="仿宋"/>
          <w:bCs/>
          <w:color w:val="000000"/>
          <w:sz w:val="24"/>
          <w:szCs w:val="24"/>
        </w:rPr>
        <w:t>：</w:t>
      </w:r>
      <w:r>
        <w:rPr>
          <w:rFonts w:hint="eastAsia" w:ascii="仿宋" w:hAnsi="仿宋" w:eastAsia="仿宋" w:cs="仿宋"/>
          <w:bCs/>
          <w:color w:val="000000"/>
          <w:sz w:val="24"/>
          <w:szCs w:val="24"/>
          <w:lang w:eastAsia="zh-CN"/>
        </w:rPr>
        <w:t>黄河清（</w:t>
      </w:r>
      <w:r>
        <w:rPr>
          <w:rFonts w:hint="eastAsia" w:ascii="仿宋" w:hAnsi="仿宋" w:eastAsia="仿宋" w:cs="仿宋"/>
          <w:bCs/>
          <w:color w:val="000000"/>
          <w:sz w:val="24"/>
          <w:szCs w:val="24"/>
        </w:rPr>
        <w:t>省协会</w:t>
      </w:r>
      <w:r>
        <w:rPr>
          <w:rFonts w:hint="eastAsia" w:ascii="仿宋" w:hAnsi="仿宋" w:eastAsia="仿宋" w:cs="仿宋"/>
          <w:bCs/>
          <w:color w:val="000000"/>
          <w:sz w:val="24"/>
          <w:szCs w:val="24"/>
          <w:lang w:eastAsia="zh-CN"/>
        </w:rPr>
        <w:t>常务副会长兼秘书长）；</w:t>
      </w:r>
    </w:p>
    <w:p>
      <w:pPr>
        <w:spacing w:line="360" w:lineRule="auto"/>
        <w:ind w:firstLine="480" w:firstLineChars="20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 xml:space="preserve">        </w:t>
      </w:r>
      <w:r>
        <w:rPr>
          <w:rFonts w:hint="eastAsia" w:ascii="仿宋" w:hAnsi="仿宋" w:eastAsia="仿宋" w:cs="仿宋"/>
          <w:bCs/>
          <w:color w:val="000000"/>
          <w:sz w:val="24"/>
          <w:szCs w:val="24"/>
        </w:rPr>
        <w:t>殷</w:t>
      </w:r>
      <w:r>
        <w:rPr>
          <w:rFonts w:hint="eastAsia" w:ascii="仿宋" w:hAnsi="仿宋" w:eastAsia="仿宋" w:cs="仿宋"/>
          <w:bCs/>
          <w:color w:val="000000"/>
          <w:sz w:val="24"/>
          <w:szCs w:val="24"/>
          <w:lang w:val="en-US" w:eastAsia="zh-CN"/>
        </w:rPr>
        <w:t xml:space="preserve"> </w:t>
      </w:r>
      <w:r>
        <w:rPr>
          <w:rFonts w:hint="eastAsia" w:ascii="仿宋" w:hAnsi="仿宋" w:eastAsia="仿宋" w:cs="仿宋"/>
          <w:bCs/>
          <w:color w:val="000000"/>
          <w:sz w:val="24"/>
          <w:szCs w:val="24"/>
        </w:rPr>
        <w:t>昇（</w:t>
      </w:r>
      <w:r>
        <w:rPr>
          <w:rFonts w:hint="eastAsia" w:ascii="仿宋" w:hAnsi="仿宋" w:eastAsia="仿宋" w:cs="仿宋"/>
          <w:bCs/>
          <w:color w:val="000000"/>
          <w:sz w:val="24"/>
          <w:szCs w:val="24"/>
          <w:lang w:eastAsia="zh-CN"/>
        </w:rPr>
        <w:t>省协会副会长、江西老楼董事长</w:t>
      </w:r>
      <w:r>
        <w:rPr>
          <w:rFonts w:hint="eastAsia" w:ascii="仿宋" w:hAnsi="仿宋" w:eastAsia="仿宋" w:cs="仿宋"/>
          <w:bCs/>
          <w:color w:val="000000"/>
          <w:sz w:val="24"/>
          <w:szCs w:val="24"/>
        </w:rPr>
        <w:t>）；</w:t>
      </w:r>
    </w:p>
    <w:p>
      <w:pPr>
        <w:spacing w:line="360" w:lineRule="auto"/>
        <w:ind w:left="479" w:leftChars="228" w:firstLine="0" w:firstLineChars="0"/>
        <w:jc w:val="left"/>
        <w:rPr>
          <w:rFonts w:hint="eastAsia" w:ascii="仿宋" w:hAnsi="仿宋" w:eastAsia="仿宋" w:cs="楷体_GB2312"/>
          <w:b/>
          <w:bCs w:val="0"/>
          <w:color w:val="000000"/>
          <w:sz w:val="28"/>
          <w:szCs w:val="28"/>
          <w:lang w:eastAsia="zh-CN"/>
        </w:rPr>
      </w:pPr>
      <w:r>
        <w:rPr>
          <w:rFonts w:hint="eastAsia" w:ascii="仿宋" w:hAnsi="仿宋" w:eastAsia="仿宋" w:cs="仿宋"/>
          <w:bCs/>
          <w:color w:val="000000"/>
          <w:sz w:val="24"/>
          <w:szCs w:val="24"/>
          <w:lang w:eastAsia="zh-CN"/>
        </w:rPr>
        <w:t>成</w:t>
      </w:r>
      <w:r>
        <w:rPr>
          <w:rFonts w:hint="eastAsia" w:ascii="仿宋" w:hAnsi="仿宋" w:eastAsia="仿宋" w:cs="仿宋"/>
          <w:bCs/>
          <w:color w:val="000000"/>
          <w:sz w:val="24"/>
          <w:szCs w:val="24"/>
          <w:lang w:val="en-US" w:eastAsia="zh-CN"/>
        </w:rPr>
        <w:t xml:space="preserve">  </w:t>
      </w:r>
      <w:r>
        <w:rPr>
          <w:rFonts w:hint="eastAsia" w:ascii="仿宋" w:hAnsi="仿宋" w:eastAsia="仿宋" w:cs="仿宋"/>
          <w:bCs/>
          <w:color w:val="000000"/>
          <w:sz w:val="24"/>
          <w:szCs w:val="24"/>
          <w:lang w:eastAsia="zh-CN"/>
        </w:rPr>
        <w:t>员</w:t>
      </w:r>
      <w:r>
        <w:rPr>
          <w:rFonts w:hint="eastAsia" w:ascii="仿宋" w:hAnsi="仿宋" w:eastAsia="仿宋" w:cs="仿宋"/>
          <w:bCs/>
          <w:color w:val="000000"/>
          <w:sz w:val="24"/>
          <w:szCs w:val="24"/>
        </w:rPr>
        <w:t>：</w:t>
      </w:r>
      <w:r>
        <w:rPr>
          <w:rFonts w:hint="eastAsia" w:ascii="仿宋" w:hAnsi="仿宋" w:eastAsia="仿宋" w:cs="仿宋"/>
          <w:bCs/>
          <w:color w:val="000000"/>
          <w:sz w:val="24"/>
          <w:szCs w:val="24"/>
          <w:lang w:eastAsia="zh-CN"/>
        </w:rPr>
        <w:t>曹安、李自然、陈骋、朱文爱、邹远明、付云。</w:t>
      </w:r>
    </w:p>
    <w:p>
      <w:pPr>
        <w:spacing w:line="360" w:lineRule="auto"/>
        <w:ind w:firstLine="562" w:firstLineChars="200"/>
        <w:rPr>
          <w:rFonts w:hint="eastAsia" w:ascii="仿宋" w:hAnsi="仿宋" w:eastAsia="仿宋" w:cs="楷体_GB2312"/>
          <w:b/>
          <w:bCs w:val="0"/>
          <w:color w:val="000000"/>
          <w:sz w:val="28"/>
          <w:szCs w:val="28"/>
          <w:lang w:eastAsia="zh-CN"/>
        </w:rPr>
      </w:pPr>
      <w:r>
        <w:rPr>
          <w:rFonts w:hint="eastAsia" w:ascii="仿宋" w:hAnsi="仿宋" w:eastAsia="仿宋" w:cs="楷体_GB2312"/>
          <w:b/>
          <w:bCs w:val="0"/>
          <w:color w:val="000000"/>
          <w:sz w:val="28"/>
          <w:szCs w:val="28"/>
          <w:lang w:eastAsia="zh-CN"/>
        </w:rPr>
        <w:t>七、江西省县级行政区面积统计分析</w:t>
      </w:r>
    </w:p>
    <w:p>
      <w:pPr>
        <w:spacing w:line="360" w:lineRule="auto"/>
        <w:ind w:firstLine="480" w:firstLineChars="200"/>
        <w:jc w:val="left"/>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eastAsia="zh-CN"/>
        </w:rPr>
        <w:t>因园地林地草地定级和基准地价评估服务成本与评估范围的面积有一定的关系，故对江西省县级行政区面积进行统计分析如下：</w:t>
      </w:r>
    </w:p>
    <w:p>
      <w:pPr>
        <w:numPr>
          <w:ilvl w:val="0"/>
          <w:numId w:val="0"/>
        </w:numPr>
        <w:spacing w:line="360" w:lineRule="auto"/>
        <w:ind w:firstLine="480" w:firstLineChars="200"/>
        <w:jc w:val="left"/>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lang w:val="en-US" w:eastAsia="zh-CN"/>
        </w:rPr>
        <w:t>1、</w:t>
      </w:r>
      <w:r>
        <w:rPr>
          <w:rFonts w:hint="eastAsia" w:ascii="仿宋" w:hAnsi="仿宋" w:eastAsia="仿宋" w:cs="仿宋"/>
          <w:bCs/>
          <w:color w:val="000000"/>
          <w:sz w:val="24"/>
          <w:szCs w:val="24"/>
          <w:lang w:eastAsia="zh-CN"/>
        </w:rPr>
        <w:t>江西省有100个县级行政区；</w:t>
      </w:r>
    </w:p>
    <w:p>
      <w:pPr>
        <w:numPr>
          <w:ilvl w:val="0"/>
          <w:numId w:val="0"/>
        </w:numPr>
        <w:spacing w:line="360" w:lineRule="auto"/>
        <w:ind w:firstLine="48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2、6个县级行政区面积</w:t>
      </w:r>
      <w:r>
        <w:rPr>
          <w:rFonts w:hint="eastAsia" w:ascii="仿宋" w:hAnsi="仿宋" w:eastAsia="仿宋" w:cs="仿宋"/>
          <w:bCs/>
          <w:color w:val="000000"/>
          <w:sz w:val="21"/>
          <w:szCs w:val="21"/>
          <w:lang w:val="en-US" w:eastAsia="zh-CN"/>
        </w:rPr>
        <w:t>≥</w:t>
      </w:r>
      <w:r>
        <w:rPr>
          <w:rFonts w:hint="eastAsia" w:ascii="仿宋" w:hAnsi="仿宋" w:eastAsia="仿宋" w:cs="仿宋"/>
          <w:bCs/>
          <w:color w:val="000000"/>
          <w:sz w:val="24"/>
          <w:szCs w:val="24"/>
          <w:lang w:val="en-US" w:eastAsia="zh-CN"/>
        </w:rPr>
        <w:t>3000平方公里，分别为修水县、鄱阳县、宁都县、武宁县、兴国县、遂川县；</w:t>
      </w:r>
    </w:p>
    <w:p>
      <w:pPr>
        <w:numPr>
          <w:ilvl w:val="0"/>
          <w:numId w:val="0"/>
        </w:numPr>
        <w:spacing w:line="360" w:lineRule="auto"/>
        <w:ind w:firstLine="48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3、30个县级行政区面积在2000-3000平方公里之间；</w:t>
      </w:r>
    </w:p>
    <w:p>
      <w:pPr>
        <w:numPr>
          <w:ilvl w:val="0"/>
          <w:numId w:val="0"/>
        </w:numPr>
        <w:spacing w:line="360" w:lineRule="auto"/>
        <w:ind w:firstLine="48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4、38个县级行政区面积在1000-2000平方公里之间；</w:t>
      </w:r>
    </w:p>
    <w:p>
      <w:pPr>
        <w:numPr>
          <w:ilvl w:val="0"/>
          <w:numId w:val="0"/>
        </w:numPr>
        <w:spacing w:line="360" w:lineRule="auto"/>
        <w:ind w:firstLine="48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5、26个县级行政区面积</w:t>
      </w:r>
      <w:r>
        <w:rPr>
          <w:rFonts w:hint="eastAsia" w:ascii="仿宋" w:hAnsi="仿宋" w:eastAsia="仿宋" w:cs="仿宋"/>
          <w:bCs/>
          <w:color w:val="000000"/>
          <w:sz w:val="21"/>
          <w:szCs w:val="21"/>
          <w:lang w:val="en-US" w:eastAsia="zh-CN"/>
        </w:rPr>
        <w:t>＜</w:t>
      </w:r>
      <w:r>
        <w:rPr>
          <w:rFonts w:hint="eastAsia" w:ascii="仿宋" w:hAnsi="仿宋" w:eastAsia="仿宋" w:cs="仿宋"/>
          <w:bCs/>
          <w:color w:val="000000"/>
          <w:sz w:val="24"/>
          <w:szCs w:val="24"/>
          <w:lang w:val="en-US" w:eastAsia="zh-CN"/>
        </w:rPr>
        <w:t>1000平方公里。</w:t>
      </w:r>
    </w:p>
    <w:p>
      <w:pPr>
        <w:numPr>
          <w:ilvl w:val="0"/>
          <w:numId w:val="0"/>
        </w:numPr>
        <w:spacing w:line="360" w:lineRule="auto"/>
        <w:ind w:firstLine="480"/>
        <w:jc w:val="center"/>
        <w:rPr>
          <w:rFonts w:hint="default" w:ascii="仿宋" w:hAnsi="仿宋" w:eastAsia="仿宋" w:cs="仿宋"/>
          <w:b/>
          <w:bCs w:val="0"/>
          <w:color w:val="000000"/>
          <w:sz w:val="24"/>
          <w:szCs w:val="24"/>
          <w:lang w:val="en-US" w:eastAsia="zh-CN"/>
        </w:rPr>
      </w:pPr>
      <w:r>
        <w:rPr>
          <w:rFonts w:hint="eastAsia" w:ascii="仿宋" w:hAnsi="仿宋" w:eastAsia="仿宋" w:cs="仿宋"/>
          <w:b/>
          <w:bCs w:val="0"/>
          <w:color w:val="000000"/>
          <w:sz w:val="24"/>
          <w:szCs w:val="24"/>
          <w:lang w:val="en-US" w:eastAsia="zh-CN"/>
        </w:rPr>
        <w:t xml:space="preserve">          江西省县级行政区面积统计分析表          </w:t>
      </w:r>
      <w:r>
        <w:rPr>
          <w:rFonts w:hint="eastAsia" w:ascii="仿宋" w:hAnsi="仿宋" w:eastAsia="仿宋" w:cs="仿宋"/>
          <w:b w:val="0"/>
          <w:bCs/>
          <w:color w:val="000000"/>
          <w:sz w:val="21"/>
          <w:szCs w:val="21"/>
          <w:lang w:val="en-US" w:eastAsia="zh-CN"/>
        </w:rPr>
        <w:t>表1</w:t>
      </w:r>
    </w:p>
    <w:tbl>
      <w:tblPr>
        <w:tblStyle w:val="7"/>
        <w:tblW w:w="757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039"/>
        <w:gridCol w:w="2674"/>
        <w:gridCol w:w="1665"/>
        <w:gridCol w:w="2201"/>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039" w:type="dxa"/>
            <w:tcBorders>
              <w:top w:val="single" w:color="73C652" w:sz="12" w:space="0"/>
              <w:left w:val="single" w:color="73C652" w:sz="12" w:space="0"/>
              <w:bottom w:val="single" w:color="73C652" w:sz="4" w:space="0"/>
              <w:right w:val="dotted" w:color="auto" w:sz="4"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
                <w:bCs w:val="0"/>
                <w:color w:val="000000"/>
                <w:sz w:val="21"/>
                <w:szCs w:val="21"/>
                <w:lang w:val="en-US" w:eastAsia="zh-CN"/>
              </w:rPr>
            </w:pPr>
            <w:r>
              <w:rPr>
                <w:rFonts w:hint="eastAsia" w:ascii="仿宋" w:hAnsi="仿宋" w:eastAsia="仿宋" w:cs="仿宋"/>
                <w:b/>
                <w:bCs w:val="0"/>
                <w:color w:val="000000"/>
                <w:sz w:val="21"/>
                <w:szCs w:val="21"/>
                <w:lang w:val="en-US" w:eastAsia="zh-CN"/>
              </w:rPr>
              <w:t>序号</w:t>
            </w:r>
          </w:p>
        </w:tc>
        <w:tc>
          <w:tcPr>
            <w:tcW w:w="2674" w:type="dxa"/>
            <w:tcBorders>
              <w:top w:val="single" w:color="73C652" w:sz="12"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
                <w:bCs w:val="0"/>
                <w:color w:val="000000"/>
                <w:sz w:val="21"/>
                <w:szCs w:val="21"/>
                <w:lang w:val="en-US" w:eastAsia="zh-CN"/>
              </w:rPr>
            </w:pPr>
            <w:r>
              <w:rPr>
                <w:rFonts w:hint="eastAsia" w:ascii="仿宋" w:hAnsi="仿宋" w:eastAsia="仿宋" w:cs="仿宋"/>
                <w:b/>
                <w:bCs w:val="0"/>
                <w:color w:val="000000"/>
                <w:sz w:val="21"/>
                <w:szCs w:val="21"/>
                <w:lang w:val="en-US" w:eastAsia="zh-CN"/>
              </w:rPr>
              <w:t>县级行政区面积</w:t>
            </w:r>
          </w:p>
        </w:tc>
        <w:tc>
          <w:tcPr>
            <w:tcW w:w="1665" w:type="dxa"/>
            <w:tcBorders>
              <w:top w:val="single" w:color="73C652" w:sz="12"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
                <w:bCs w:val="0"/>
                <w:color w:val="000000"/>
                <w:sz w:val="21"/>
                <w:szCs w:val="21"/>
                <w:lang w:val="en-US" w:eastAsia="zh-CN"/>
              </w:rPr>
            </w:pPr>
            <w:r>
              <w:rPr>
                <w:rFonts w:hint="eastAsia" w:ascii="仿宋" w:hAnsi="仿宋" w:eastAsia="仿宋" w:cs="仿宋"/>
                <w:b/>
                <w:bCs w:val="0"/>
                <w:color w:val="000000"/>
                <w:sz w:val="21"/>
                <w:szCs w:val="21"/>
                <w:lang w:val="en-US" w:eastAsia="zh-CN"/>
              </w:rPr>
              <w:t>数量（个）</w:t>
            </w:r>
          </w:p>
        </w:tc>
        <w:tc>
          <w:tcPr>
            <w:tcW w:w="2201" w:type="dxa"/>
            <w:tcBorders>
              <w:top w:val="single" w:color="73C652" w:sz="12" w:space="0"/>
              <w:left w:val="dotted" w:color="auto" w:sz="4" w:space="0"/>
              <w:bottom w:val="single" w:color="73C652" w:sz="4" w:space="0"/>
              <w:right w:val="single" w:color="73C652" w:sz="12"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
                <w:bCs w:val="0"/>
                <w:color w:val="000000"/>
                <w:sz w:val="21"/>
                <w:szCs w:val="21"/>
                <w:lang w:val="en-US" w:eastAsia="zh-CN"/>
              </w:rPr>
            </w:pPr>
            <w:r>
              <w:rPr>
                <w:rFonts w:hint="eastAsia" w:ascii="仿宋" w:hAnsi="仿宋" w:eastAsia="仿宋" w:cs="仿宋"/>
                <w:b/>
                <w:bCs w:val="0"/>
                <w:color w:val="000000"/>
                <w:sz w:val="21"/>
                <w:szCs w:val="21"/>
                <w:lang w:val="en-US" w:eastAsia="zh-CN"/>
              </w:rPr>
              <w:t>占比（%）</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9" w:hRule="atLeast"/>
          <w:jc w:val="center"/>
        </w:trPr>
        <w:tc>
          <w:tcPr>
            <w:tcW w:w="1039" w:type="dxa"/>
            <w:tcBorders>
              <w:top w:val="single" w:color="73C652"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1</w:t>
            </w:r>
          </w:p>
        </w:tc>
        <w:tc>
          <w:tcPr>
            <w:tcW w:w="2674"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＜1000</w:t>
            </w:r>
          </w:p>
        </w:tc>
        <w:tc>
          <w:tcPr>
            <w:tcW w:w="1665"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26</w:t>
            </w:r>
          </w:p>
        </w:tc>
        <w:tc>
          <w:tcPr>
            <w:tcW w:w="2201" w:type="dxa"/>
            <w:tcBorders>
              <w:top w:val="single" w:color="73C652" w:sz="4" w:space="0"/>
              <w:left w:val="dotted" w:color="auto" w:sz="4" w:space="0"/>
              <w:bottom w:val="dotted" w:color="auto" w:sz="4" w:space="0"/>
              <w:right w:val="single" w:color="73C652" w:sz="12"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26.00%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9" w:hRule="atLeast"/>
          <w:jc w:val="center"/>
        </w:trPr>
        <w:tc>
          <w:tcPr>
            <w:tcW w:w="1039"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2</w:t>
            </w:r>
          </w:p>
        </w:tc>
        <w:tc>
          <w:tcPr>
            <w:tcW w:w="267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1000≤S＜2000</w:t>
            </w:r>
          </w:p>
        </w:tc>
        <w:tc>
          <w:tcPr>
            <w:tcW w:w="1665"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38</w:t>
            </w:r>
          </w:p>
        </w:tc>
        <w:tc>
          <w:tcPr>
            <w:tcW w:w="2201" w:type="dxa"/>
            <w:tcBorders>
              <w:top w:val="dotted" w:color="auto" w:sz="4" w:space="0"/>
              <w:left w:val="dotted" w:color="auto" w:sz="4" w:space="0"/>
              <w:bottom w:val="dotted" w:color="auto" w:sz="4" w:space="0"/>
              <w:right w:val="single" w:color="73C652" w:sz="12"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38.00%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9" w:hRule="atLeast"/>
          <w:jc w:val="center"/>
        </w:trPr>
        <w:tc>
          <w:tcPr>
            <w:tcW w:w="1039"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3</w:t>
            </w:r>
          </w:p>
        </w:tc>
        <w:tc>
          <w:tcPr>
            <w:tcW w:w="2674"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2000≤S＜3000</w:t>
            </w:r>
          </w:p>
        </w:tc>
        <w:tc>
          <w:tcPr>
            <w:tcW w:w="1665"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30</w:t>
            </w:r>
          </w:p>
        </w:tc>
        <w:tc>
          <w:tcPr>
            <w:tcW w:w="2201" w:type="dxa"/>
            <w:tcBorders>
              <w:top w:val="dotted" w:color="auto" w:sz="4" w:space="0"/>
              <w:left w:val="dotted" w:color="auto" w:sz="4" w:space="0"/>
              <w:bottom w:val="dotted" w:color="auto" w:sz="4" w:space="0"/>
              <w:right w:val="single" w:color="73C652" w:sz="12"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30.00%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9" w:hRule="atLeast"/>
          <w:jc w:val="center"/>
        </w:trPr>
        <w:tc>
          <w:tcPr>
            <w:tcW w:w="1039"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4</w:t>
            </w:r>
          </w:p>
        </w:tc>
        <w:tc>
          <w:tcPr>
            <w:tcW w:w="267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≥3000</w:t>
            </w:r>
          </w:p>
        </w:tc>
        <w:tc>
          <w:tcPr>
            <w:tcW w:w="1665"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6</w:t>
            </w:r>
          </w:p>
        </w:tc>
        <w:tc>
          <w:tcPr>
            <w:tcW w:w="2201" w:type="dxa"/>
            <w:tcBorders>
              <w:top w:val="dotted" w:color="auto" w:sz="4" w:space="0"/>
              <w:left w:val="dotted" w:color="auto" w:sz="4" w:space="0"/>
              <w:bottom w:val="dotted" w:color="auto" w:sz="4" w:space="0"/>
              <w:right w:val="single" w:color="73C652" w:sz="12"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Cs/>
                <w:color w:val="000000"/>
                <w:sz w:val="21"/>
                <w:szCs w:val="21"/>
                <w:lang w:val="en-US" w:eastAsia="zh-CN"/>
              </w:rPr>
            </w:pPr>
            <w:r>
              <w:rPr>
                <w:rFonts w:hint="eastAsia" w:ascii="仿宋" w:hAnsi="仿宋" w:eastAsia="仿宋" w:cs="仿宋"/>
                <w:bCs/>
                <w:color w:val="000000"/>
                <w:sz w:val="21"/>
                <w:szCs w:val="21"/>
                <w:lang w:val="en-US" w:eastAsia="zh-CN"/>
              </w:rPr>
              <w:t>6.00%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1" w:hRule="atLeast"/>
          <w:jc w:val="center"/>
        </w:trPr>
        <w:tc>
          <w:tcPr>
            <w:tcW w:w="1039" w:type="dxa"/>
            <w:tcBorders>
              <w:top w:val="dotted" w:color="auto" w:sz="4" w:space="0"/>
              <w:left w:val="single" w:color="73C652" w:sz="12" w:space="0"/>
              <w:bottom w:val="single" w:color="73C652" w:sz="12" w:space="0"/>
              <w:right w:val="dotted" w:color="auto" w:sz="4"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
                <w:bCs w:val="0"/>
                <w:color w:val="000000"/>
                <w:sz w:val="21"/>
                <w:szCs w:val="21"/>
                <w:lang w:val="en-US" w:eastAsia="zh-CN"/>
              </w:rPr>
            </w:pPr>
            <w:r>
              <w:rPr>
                <w:rFonts w:hint="eastAsia" w:ascii="仿宋" w:hAnsi="仿宋" w:eastAsia="仿宋" w:cs="仿宋"/>
                <w:b/>
                <w:bCs w:val="0"/>
                <w:color w:val="000000"/>
                <w:sz w:val="21"/>
                <w:szCs w:val="21"/>
                <w:lang w:val="en-US" w:eastAsia="zh-CN"/>
              </w:rPr>
              <w:t>合计</w:t>
            </w:r>
          </w:p>
        </w:tc>
        <w:tc>
          <w:tcPr>
            <w:tcW w:w="2674" w:type="dxa"/>
            <w:tcBorders>
              <w:top w:val="dotted" w:color="auto" w:sz="4" w:space="0"/>
              <w:left w:val="dotted" w:color="auto" w:sz="4" w:space="0"/>
              <w:bottom w:val="single" w:color="73C652" w:sz="12" w:space="0"/>
              <w:right w:val="dotted" w:color="auto" w:sz="4"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
                <w:bCs w:val="0"/>
                <w:color w:val="000000"/>
                <w:sz w:val="21"/>
                <w:szCs w:val="21"/>
                <w:lang w:val="en-US" w:eastAsia="zh-CN"/>
              </w:rPr>
            </w:pPr>
          </w:p>
        </w:tc>
        <w:tc>
          <w:tcPr>
            <w:tcW w:w="1665" w:type="dxa"/>
            <w:tcBorders>
              <w:top w:val="dotted" w:color="auto" w:sz="4" w:space="0"/>
              <w:left w:val="dotted" w:color="auto" w:sz="4" w:space="0"/>
              <w:bottom w:val="single" w:color="73C652" w:sz="12" w:space="0"/>
              <w:right w:val="dotted" w:color="auto" w:sz="4"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
                <w:bCs w:val="0"/>
                <w:color w:val="000000"/>
                <w:sz w:val="21"/>
                <w:szCs w:val="21"/>
                <w:lang w:val="en-US" w:eastAsia="zh-CN"/>
              </w:rPr>
            </w:pPr>
            <w:r>
              <w:rPr>
                <w:rFonts w:hint="eastAsia" w:ascii="仿宋" w:hAnsi="仿宋" w:eastAsia="仿宋" w:cs="仿宋"/>
                <w:b/>
                <w:bCs w:val="0"/>
                <w:color w:val="000000"/>
                <w:sz w:val="21"/>
                <w:szCs w:val="21"/>
                <w:lang w:val="en-US" w:eastAsia="zh-CN"/>
              </w:rPr>
              <w:t>100</w:t>
            </w:r>
          </w:p>
        </w:tc>
        <w:tc>
          <w:tcPr>
            <w:tcW w:w="2201" w:type="dxa"/>
            <w:tcBorders>
              <w:top w:val="dotted" w:color="auto" w:sz="4" w:space="0"/>
              <w:left w:val="dotted" w:color="auto" w:sz="4" w:space="0"/>
              <w:bottom w:val="single" w:color="73C652" w:sz="12" w:space="0"/>
              <w:right w:val="single" w:color="73C652" w:sz="12"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jc w:val="center"/>
              <w:textAlignment w:val="auto"/>
              <w:rPr>
                <w:rFonts w:hint="eastAsia" w:ascii="仿宋" w:hAnsi="仿宋" w:eastAsia="仿宋" w:cs="仿宋"/>
                <w:b/>
                <w:bCs w:val="0"/>
                <w:color w:val="000000"/>
                <w:sz w:val="21"/>
                <w:szCs w:val="21"/>
                <w:lang w:val="en-US" w:eastAsia="zh-CN"/>
              </w:rPr>
            </w:pPr>
            <w:r>
              <w:rPr>
                <w:rFonts w:hint="eastAsia" w:ascii="仿宋" w:hAnsi="仿宋" w:eastAsia="仿宋" w:cs="仿宋"/>
                <w:b/>
                <w:bCs w:val="0"/>
                <w:color w:val="000000"/>
                <w:sz w:val="21"/>
                <w:szCs w:val="21"/>
                <w:lang w:val="en-US" w:eastAsia="zh-CN"/>
              </w:rPr>
              <w:t>100.00%</w:t>
            </w:r>
          </w:p>
        </w:tc>
      </w:tr>
    </w:tbl>
    <w:p>
      <w:pPr>
        <w:spacing w:line="360" w:lineRule="auto"/>
        <w:ind w:firstLine="420" w:firstLineChars="200"/>
        <w:rPr>
          <w:rFonts w:hint="eastAsia" w:ascii="仿宋" w:hAnsi="仿宋" w:eastAsia="仿宋" w:cs="楷体_GB2312"/>
          <w:b/>
          <w:bCs w:val="0"/>
          <w:color w:val="000000"/>
          <w:sz w:val="28"/>
          <w:szCs w:val="28"/>
          <w:lang w:eastAsia="zh-CN"/>
        </w:rPr>
      </w:pPr>
      <w:r>
        <w:drawing>
          <wp:anchor distT="0" distB="0" distL="114300" distR="114300" simplePos="0" relativeHeight="251659264" behindDoc="0" locked="0" layoutInCell="1" allowOverlap="1">
            <wp:simplePos x="0" y="0"/>
            <wp:positionH relativeFrom="column">
              <wp:posOffset>560705</wp:posOffset>
            </wp:positionH>
            <wp:positionV relativeFrom="paragraph">
              <wp:posOffset>201930</wp:posOffset>
            </wp:positionV>
            <wp:extent cx="4808855" cy="2624455"/>
            <wp:effectExtent l="4445" t="5080" r="6350" b="56515"/>
            <wp:wrapNone/>
            <wp:docPr id="3" name="图表 2" descr="7b0a202020202263686172745265734964223a202232303437363039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p>
    <w:p>
      <w:pPr>
        <w:spacing w:line="360" w:lineRule="auto"/>
        <w:ind w:firstLine="562" w:firstLineChars="200"/>
        <w:rPr>
          <w:rFonts w:hint="eastAsia" w:ascii="仿宋" w:hAnsi="仿宋" w:eastAsia="仿宋" w:cs="楷体_GB2312"/>
          <w:b/>
          <w:bCs w:val="0"/>
          <w:color w:val="000000"/>
          <w:sz w:val="28"/>
          <w:szCs w:val="28"/>
          <w:lang w:eastAsia="zh-CN"/>
        </w:rPr>
      </w:pPr>
      <w:r>
        <w:rPr>
          <w:rFonts w:hint="eastAsia" w:ascii="仿宋" w:hAnsi="仿宋" w:eastAsia="仿宋" w:cs="楷体_GB2312"/>
          <w:b/>
          <w:bCs w:val="0"/>
          <w:color w:val="000000"/>
          <w:sz w:val="28"/>
          <w:szCs w:val="28"/>
          <w:lang w:eastAsia="zh-CN"/>
        </w:rPr>
        <w:t>八、园地林地草地定级和基准地价评估服务收费情况</w:t>
      </w:r>
    </w:p>
    <w:p>
      <w:pPr>
        <w:spacing w:line="360" w:lineRule="auto"/>
        <w:ind w:firstLine="480" w:firstLineChars="20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eastAsia="zh-CN"/>
        </w:rPr>
        <w:t>通过统计</w:t>
      </w:r>
      <w:r>
        <w:rPr>
          <w:rFonts w:hint="eastAsia" w:ascii="仿宋" w:hAnsi="仿宋" w:eastAsia="仿宋" w:cs="仿宋"/>
          <w:bCs/>
          <w:color w:val="000000"/>
          <w:sz w:val="24"/>
          <w:szCs w:val="24"/>
          <w:lang w:val="en-US" w:eastAsia="zh-CN"/>
        </w:rPr>
        <w:t>各市县自然资源主管部门公布的园地林地草地定级和基准地价评估服务采购招标公告，得出园地林地草地定级和基准地价评估服务收费收费（预算）情况如下：</w:t>
      </w:r>
    </w:p>
    <w:p>
      <w:pPr>
        <w:spacing w:line="360" w:lineRule="auto"/>
        <w:ind w:firstLine="480" w:firstLineChars="200"/>
        <w:jc w:val="left"/>
        <w:rPr>
          <w:rFonts w:hint="eastAsia" w:ascii="仿宋" w:hAnsi="仿宋" w:eastAsia="仿宋" w:cs="仿宋"/>
          <w:b w:val="0"/>
          <w:bCs/>
          <w:color w:val="000000"/>
          <w:sz w:val="24"/>
          <w:szCs w:val="24"/>
          <w:lang w:val="en-US" w:eastAsia="zh-CN"/>
        </w:rPr>
      </w:pPr>
      <w:r>
        <w:rPr>
          <w:rFonts w:hint="eastAsia" w:ascii="仿宋" w:hAnsi="仿宋" w:eastAsia="仿宋" w:cs="仿宋"/>
          <w:b w:val="0"/>
          <w:bCs/>
          <w:color w:val="000000"/>
          <w:sz w:val="24"/>
          <w:szCs w:val="24"/>
          <w:lang w:val="en-US" w:eastAsia="zh-CN"/>
        </w:rPr>
        <w:t>1、各项目的区域分布情况</w:t>
      </w:r>
    </w:p>
    <w:p>
      <w:pPr>
        <w:spacing w:line="360" w:lineRule="auto"/>
        <w:ind w:firstLine="480" w:firstLineChars="200"/>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本次调研对13个省涉及的41个园地林地草地定级和基准地价评估服务项目收费（预算）进行了统计分析，涉及项目的区域分布情况如下表：</w:t>
      </w:r>
    </w:p>
    <w:p>
      <w:pPr>
        <w:spacing w:line="360" w:lineRule="auto"/>
        <w:ind w:firstLine="482" w:firstLineChars="200"/>
        <w:jc w:val="center"/>
        <w:rPr>
          <w:rFonts w:hint="default" w:ascii="仿宋" w:hAnsi="仿宋" w:eastAsia="仿宋" w:cs="仿宋"/>
          <w:b/>
          <w:bCs w:val="0"/>
          <w:color w:val="000000"/>
          <w:sz w:val="24"/>
          <w:szCs w:val="24"/>
          <w:lang w:val="en-US" w:eastAsia="zh-CN"/>
        </w:rPr>
      </w:pPr>
      <w:r>
        <w:rPr>
          <w:rFonts w:hint="eastAsia" w:ascii="仿宋" w:hAnsi="仿宋" w:eastAsia="仿宋" w:cs="仿宋"/>
          <w:b/>
          <w:bCs w:val="0"/>
          <w:color w:val="000000"/>
          <w:sz w:val="24"/>
          <w:szCs w:val="24"/>
          <w:lang w:val="en-US" w:eastAsia="zh-CN"/>
        </w:rPr>
        <w:t xml:space="preserve">               区域分布统计表               </w:t>
      </w:r>
      <w:r>
        <w:rPr>
          <w:rFonts w:hint="eastAsia" w:ascii="仿宋" w:hAnsi="仿宋" w:eastAsia="仿宋" w:cs="仿宋"/>
          <w:b w:val="0"/>
          <w:bCs/>
          <w:color w:val="000000"/>
          <w:sz w:val="21"/>
          <w:szCs w:val="21"/>
          <w:lang w:val="en-US" w:eastAsia="zh-CN"/>
        </w:rPr>
        <w:t>表2</w:t>
      </w:r>
    </w:p>
    <w:tbl>
      <w:tblPr>
        <w:tblStyle w:val="7"/>
        <w:tblW w:w="66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5"/>
        <w:gridCol w:w="2313"/>
        <w:gridCol w:w="1176"/>
        <w:gridCol w:w="22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jc w:val="center"/>
        </w:trPr>
        <w:tc>
          <w:tcPr>
            <w:tcW w:w="915" w:type="dxa"/>
            <w:tcBorders>
              <w:top w:val="single" w:color="73C652" w:sz="8" w:space="0"/>
              <w:left w:val="single" w:color="73C652" w:sz="8" w:space="0"/>
              <w:bottom w:val="single" w:color="73C652" w:sz="4" w:space="0"/>
              <w:right w:val="dotted" w:color="auto" w:sz="4" w:space="0"/>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2313" w:type="dxa"/>
            <w:tcBorders>
              <w:top w:val="single" w:color="73C652" w:sz="8" w:space="0"/>
              <w:left w:val="dotted" w:color="auto" w:sz="4" w:space="0"/>
              <w:bottom w:val="single" w:color="73C652" w:sz="4" w:space="0"/>
              <w:right w:val="dotted" w:color="auto" w:sz="4" w:space="0"/>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省份</w:t>
            </w:r>
          </w:p>
        </w:tc>
        <w:tc>
          <w:tcPr>
            <w:tcW w:w="1176" w:type="dxa"/>
            <w:tcBorders>
              <w:top w:val="single" w:color="73C652" w:sz="8" w:space="0"/>
              <w:left w:val="dotted" w:color="auto" w:sz="4" w:space="0"/>
              <w:bottom w:val="single" w:color="73C652" w:sz="4" w:space="0"/>
              <w:right w:val="dotted" w:color="auto" w:sz="4" w:space="0"/>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数量（个）</w:t>
            </w:r>
          </w:p>
        </w:tc>
        <w:tc>
          <w:tcPr>
            <w:tcW w:w="2293" w:type="dxa"/>
            <w:tcBorders>
              <w:top w:val="single" w:color="73C652" w:sz="8" w:space="0"/>
              <w:left w:val="dotted" w:color="auto" w:sz="4" w:space="0"/>
              <w:bottom w:val="single" w:color="73C652" w:sz="4" w:space="0"/>
              <w:right w:val="single" w:color="73C652" w:sz="8" w:space="0"/>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占比（%）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915" w:type="dxa"/>
            <w:tcBorders>
              <w:top w:val="single" w:color="73C652"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2313" w:type="dxa"/>
            <w:tcBorders>
              <w:top w:val="single" w:color="73C652" w:sz="4" w:space="0"/>
              <w:left w:val="dotted" w:color="auto" w:sz="4" w:space="0"/>
              <w:bottom w:val="dotted" w:color="auto" w:sz="4" w:space="0"/>
              <w:right w:val="dotted" w:color="auto" w:sz="4"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四川省</w:t>
            </w:r>
          </w:p>
        </w:tc>
        <w:tc>
          <w:tcPr>
            <w:tcW w:w="1176" w:type="dxa"/>
            <w:tcBorders>
              <w:top w:val="single" w:color="73C652"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w:t>
            </w:r>
          </w:p>
        </w:tc>
        <w:tc>
          <w:tcPr>
            <w:tcW w:w="2293" w:type="dxa"/>
            <w:tcBorders>
              <w:top w:val="single" w:color="73C652" w:sz="4" w:space="0"/>
              <w:left w:val="dotted" w:color="auto" w:sz="4" w:space="0"/>
              <w:bottom w:val="dotted" w:color="auto" w:sz="4" w:space="0"/>
              <w:right w:val="single" w:color="73C652" w:sz="8"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231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内蒙古自治区</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w:t>
            </w:r>
          </w:p>
        </w:tc>
        <w:tc>
          <w:tcPr>
            <w:tcW w:w="2293" w:type="dxa"/>
            <w:tcBorders>
              <w:top w:val="dotted" w:color="auto" w:sz="4" w:space="0"/>
              <w:left w:val="dotted" w:color="auto" w:sz="4" w:space="0"/>
              <w:bottom w:val="dotted" w:color="auto" w:sz="4" w:space="0"/>
              <w:right w:val="single" w:color="73C652" w:sz="8"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19.51%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2313" w:type="dxa"/>
            <w:tcBorders>
              <w:top w:val="dotted" w:color="auto" w:sz="4" w:space="0"/>
              <w:left w:val="dotted" w:color="auto" w:sz="4" w:space="0"/>
              <w:bottom w:val="dotted" w:color="auto" w:sz="4" w:space="0"/>
              <w:right w:val="dotted" w:color="auto" w:sz="4"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山东省</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7</w:t>
            </w:r>
          </w:p>
        </w:tc>
        <w:tc>
          <w:tcPr>
            <w:tcW w:w="2293" w:type="dxa"/>
            <w:tcBorders>
              <w:top w:val="dotted" w:color="auto" w:sz="4" w:space="0"/>
              <w:left w:val="dotted" w:color="auto" w:sz="4" w:space="0"/>
              <w:bottom w:val="dotted" w:color="auto" w:sz="4" w:space="0"/>
              <w:right w:val="single" w:color="73C652" w:sz="8"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17.07%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231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黑龙江省</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w:t>
            </w:r>
          </w:p>
        </w:tc>
        <w:tc>
          <w:tcPr>
            <w:tcW w:w="2293" w:type="dxa"/>
            <w:tcBorders>
              <w:top w:val="dotted" w:color="auto" w:sz="4" w:space="0"/>
              <w:left w:val="dotted" w:color="auto" w:sz="4" w:space="0"/>
              <w:bottom w:val="dotted" w:color="auto" w:sz="4" w:space="0"/>
              <w:right w:val="single" w:color="73C652" w:sz="8"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2313" w:type="dxa"/>
            <w:tcBorders>
              <w:top w:val="dotted" w:color="auto" w:sz="4" w:space="0"/>
              <w:left w:val="dotted" w:color="auto" w:sz="4" w:space="0"/>
              <w:bottom w:val="dotted" w:color="auto" w:sz="4" w:space="0"/>
              <w:right w:val="dotted" w:color="auto" w:sz="4"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广东省</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w:t>
            </w:r>
          </w:p>
        </w:tc>
        <w:tc>
          <w:tcPr>
            <w:tcW w:w="2293" w:type="dxa"/>
            <w:tcBorders>
              <w:top w:val="dotted" w:color="auto" w:sz="4" w:space="0"/>
              <w:left w:val="dotted" w:color="auto" w:sz="4" w:space="0"/>
              <w:bottom w:val="dotted" w:color="auto" w:sz="4" w:space="0"/>
              <w:right w:val="single" w:color="73C652" w:sz="8"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7.32%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231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安徽省</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2293" w:type="dxa"/>
            <w:tcBorders>
              <w:top w:val="dotted" w:color="auto" w:sz="4" w:space="0"/>
              <w:left w:val="dotted" w:color="auto" w:sz="4" w:space="0"/>
              <w:bottom w:val="dotted" w:color="auto" w:sz="4" w:space="0"/>
              <w:right w:val="single" w:color="73C652" w:sz="8"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2313" w:type="dxa"/>
            <w:tcBorders>
              <w:top w:val="dotted" w:color="auto" w:sz="4" w:space="0"/>
              <w:left w:val="dotted" w:color="auto" w:sz="4" w:space="0"/>
              <w:bottom w:val="dotted" w:color="auto" w:sz="4" w:space="0"/>
              <w:right w:val="dotted" w:color="auto" w:sz="4"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福建省</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2293" w:type="dxa"/>
            <w:tcBorders>
              <w:top w:val="dotted" w:color="auto" w:sz="4" w:space="0"/>
              <w:left w:val="dotted" w:color="auto" w:sz="4" w:space="0"/>
              <w:bottom w:val="dotted" w:color="auto" w:sz="4" w:space="0"/>
              <w:right w:val="single" w:color="73C652" w:sz="8"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231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河北省</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2293" w:type="dxa"/>
            <w:tcBorders>
              <w:top w:val="dotted" w:color="auto" w:sz="4" w:space="0"/>
              <w:left w:val="dotted" w:color="auto" w:sz="4" w:space="0"/>
              <w:bottom w:val="dotted" w:color="auto" w:sz="4" w:space="0"/>
              <w:right w:val="single" w:color="73C652" w:sz="8"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2313" w:type="dxa"/>
            <w:tcBorders>
              <w:top w:val="dotted" w:color="auto" w:sz="4" w:space="0"/>
              <w:left w:val="dotted" w:color="auto" w:sz="4" w:space="0"/>
              <w:bottom w:val="dotted" w:color="auto" w:sz="4" w:space="0"/>
              <w:right w:val="dotted" w:color="auto" w:sz="4"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湖北省</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2293" w:type="dxa"/>
            <w:tcBorders>
              <w:top w:val="dotted" w:color="auto" w:sz="4" w:space="0"/>
              <w:left w:val="dotted" w:color="auto" w:sz="4" w:space="0"/>
              <w:bottom w:val="dotted" w:color="auto" w:sz="4" w:space="0"/>
              <w:right w:val="single" w:color="73C652" w:sz="8"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231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江苏省</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2293" w:type="dxa"/>
            <w:tcBorders>
              <w:top w:val="dotted" w:color="auto" w:sz="4" w:space="0"/>
              <w:left w:val="dotted" w:color="auto" w:sz="4" w:space="0"/>
              <w:bottom w:val="dotted" w:color="auto" w:sz="4" w:space="0"/>
              <w:right w:val="single" w:color="73C652" w:sz="8"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2313" w:type="dxa"/>
            <w:tcBorders>
              <w:top w:val="dotted" w:color="auto" w:sz="4" w:space="0"/>
              <w:left w:val="dotted" w:color="auto" w:sz="4" w:space="0"/>
              <w:bottom w:val="dotted" w:color="auto" w:sz="4" w:space="0"/>
              <w:right w:val="dotted" w:color="auto" w:sz="4"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宁夏回族自治区</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2293" w:type="dxa"/>
            <w:tcBorders>
              <w:top w:val="dotted" w:color="auto" w:sz="4" w:space="0"/>
              <w:left w:val="dotted" w:color="auto" w:sz="4" w:space="0"/>
              <w:bottom w:val="dotted" w:color="auto" w:sz="4" w:space="0"/>
              <w:right w:val="single" w:color="73C652" w:sz="8"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231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云南省</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2293" w:type="dxa"/>
            <w:tcBorders>
              <w:top w:val="dotted" w:color="auto" w:sz="4" w:space="0"/>
              <w:left w:val="dotted" w:color="auto" w:sz="4" w:space="0"/>
              <w:bottom w:val="dotted" w:color="auto" w:sz="4" w:space="0"/>
              <w:right w:val="single" w:color="73C652" w:sz="8"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915" w:type="dxa"/>
            <w:tcBorders>
              <w:top w:val="dotted" w:color="auto" w:sz="4" w:space="0"/>
              <w:left w:val="single" w:color="73C652" w:sz="8"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2313" w:type="dxa"/>
            <w:tcBorders>
              <w:top w:val="dotted" w:color="auto" w:sz="4" w:space="0"/>
              <w:left w:val="dotted" w:color="auto" w:sz="4" w:space="0"/>
              <w:bottom w:val="dotted" w:color="auto" w:sz="4" w:space="0"/>
              <w:right w:val="dotted" w:color="auto" w:sz="4"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重庆市</w:t>
            </w:r>
          </w:p>
        </w:tc>
        <w:tc>
          <w:tcPr>
            <w:tcW w:w="1176" w:type="dxa"/>
            <w:tcBorders>
              <w:top w:val="dotted" w:color="auto" w:sz="4" w:space="0"/>
              <w:left w:val="dotted" w:color="auto" w:sz="4" w:space="0"/>
              <w:bottom w:val="dotted" w:color="auto" w:sz="4" w:space="0"/>
              <w:right w:val="dotted" w:color="auto" w:sz="4" w:space="0"/>
            </w:tcBorders>
            <w:shd w:val="clear" w:color="auto" w:fill="F1FAED"/>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2293" w:type="dxa"/>
            <w:tcBorders>
              <w:top w:val="dotted" w:color="auto" w:sz="4" w:space="0"/>
              <w:left w:val="dotted" w:color="auto" w:sz="4" w:space="0"/>
              <w:bottom w:val="dotted" w:color="auto" w:sz="4" w:space="0"/>
              <w:right w:val="single" w:color="73C652" w:sz="8" w:space="0"/>
            </w:tcBorders>
            <w:shd w:val="clear" w:color="auto" w:fill="CEECC3"/>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915" w:type="dxa"/>
            <w:tcBorders>
              <w:top w:val="dotted" w:color="auto" w:sz="4" w:space="0"/>
              <w:left w:val="single" w:color="73C652" w:sz="8" w:space="0"/>
              <w:bottom w:val="single" w:color="73C652" w:sz="8" w:space="0"/>
              <w:right w:val="dotted" w:color="auto" w:sz="4" w:space="0"/>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合计</w:t>
            </w:r>
          </w:p>
        </w:tc>
        <w:tc>
          <w:tcPr>
            <w:tcW w:w="2313" w:type="dxa"/>
            <w:tcBorders>
              <w:top w:val="dotted" w:color="auto" w:sz="4" w:space="0"/>
              <w:left w:val="dotted" w:color="auto" w:sz="4" w:space="0"/>
              <w:bottom w:val="single" w:color="73C652" w:sz="8" w:space="0"/>
              <w:right w:val="dotted" w:color="auto" w:sz="4" w:space="0"/>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176" w:type="dxa"/>
            <w:tcBorders>
              <w:top w:val="dotted" w:color="auto" w:sz="4" w:space="0"/>
              <w:left w:val="dotted" w:color="auto" w:sz="4" w:space="0"/>
              <w:bottom w:val="single" w:color="73C652" w:sz="8" w:space="0"/>
              <w:right w:val="dotted" w:color="auto" w:sz="4" w:space="0"/>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41</w:t>
            </w:r>
          </w:p>
        </w:tc>
        <w:tc>
          <w:tcPr>
            <w:tcW w:w="2293" w:type="dxa"/>
            <w:tcBorders>
              <w:top w:val="dotted" w:color="auto" w:sz="4" w:space="0"/>
              <w:left w:val="dotted" w:color="auto" w:sz="4" w:space="0"/>
              <w:bottom w:val="single" w:color="73C652" w:sz="8" w:space="0"/>
              <w:right w:val="single" w:color="73C652" w:sz="8" w:space="0"/>
            </w:tcBorders>
            <w:shd w:val="clear" w:color="auto" w:fill="97D57F"/>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100.00%</w:t>
            </w:r>
          </w:p>
        </w:tc>
      </w:tr>
    </w:tbl>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2、园地林地草地定级和基准地价评估服务收费（预算）整体情况</w:t>
      </w:r>
    </w:p>
    <w:p>
      <w:pPr>
        <w:numPr>
          <w:ilvl w:val="0"/>
          <w:numId w:val="0"/>
        </w:numPr>
        <w:spacing w:line="360" w:lineRule="auto"/>
        <w:ind w:firstLine="48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通过对本次调研涉及的41个园地林地草地定级和基准地价评估服务项目收费（预算）进行整理分析得出，41个项目涉及的评估面积为28.48万平方公里，总收费（预算）费用为2695.74万元，</w:t>
      </w:r>
      <w:r>
        <w:rPr>
          <w:rFonts w:hint="eastAsia" w:ascii="仿宋" w:hAnsi="仿宋" w:eastAsia="仿宋" w:cs="仿宋"/>
          <w:b/>
          <w:bCs w:val="0"/>
          <w:color w:val="000000"/>
          <w:sz w:val="24"/>
          <w:szCs w:val="24"/>
          <w:u w:val="single"/>
          <w:lang w:val="en-US" w:eastAsia="zh-CN"/>
        </w:rPr>
        <w:t>测算出平均每个项目的收费（预算）费用为65.75万元</w:t>
      </w:r>
      <w:r>
        <w:rPr>
          <w:rFonts w:hint="eastAsia" w:ascii="仿宋" w:hAnsi="仿宋" w:eastAsia="仿宋" w:cs="仿宋"/>
          <w:bCs/>
          <w:color w:val="000000"/>
          <w:sz w:val="24"/>
          <w:szCs w:val="24"/>
          <w:lang w:val="en-US" w:eastAsia="zh-CN"/>
        </w:rPr>
        <w:t>。</w:t>
      </w:r>
    </w:p>
    <w:p>
      <w:pPr>
        <w:numPr>
          <w:ilvl w:val="0"/>
          <w:numId w:val="0"/>
        </w:numPr>
        <w:spacing w:line="360" w:lineRule="auto"/>
        <w:ind w:firstLine="48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3、评估面积≥3000平方公里的评估项目收费（预算）分析</w:t>
      </w:r>
    </w:p>
    <w:p>
      <w:pPr>
        <w:numPr>
          <w:ilvl w:val="0"/>
          <w:numId w:val="0"/>
        </w:numPr>
        <w:spacing w:line="360" w:lineRule="auto"/>
        <w:ind w:firstLine="48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通过对本次调研涉及的41个园地林地草地定级和基准地价评估服务项目收费（预算）进行整理分析得出，其中评估面积大于3000平方公里的评估项目有16个，分别分布在内蒙古自治区、黑龙江省、山东省、四川省、河北省、宁夏回族自治区、云南省，16个项目的总收费（预算）1577.79万元，</w:t>
      </w:r>
      <w:r>
        <w:rPr>
          <w:rFonts w:hint="eastAsia" w:ascii="仿宋" w:hAnsi="仿宋" w:eastAsia="仿宋" w:cs="仿宋"/>
          <w:b/>
          <w:bCs w:val="0"/>
          <w:color w:val="000000"/>
          <w:sz w:val="24"/>
          <w:szCs w:val="24"/>
          <w:u w:val="single"/>
          <w:lang w:val="en-US" w:eastAsia="zh-CN"/>
        </w:rPr>
        <w:t>测算出每个项目的收费（预算）为98.61万元（评估面积≥3000平方公里）</w:t>
      </w:r>
      <w:r>
        <w:rPr>
          <w:rFonts w:hint="eastAsia" w:ascii="仿宋" w:hAnsi="仿宋" w:eastAsia="仿宋" w:cs="仿宋"/>
          <w:bCs/>
          <w:color w:val="000000"/>
          <w:sz w:val="24"/>
          <w:szCs w:val="24"/>
          <w:lang w:val="en-US" w:eastAsia="zh-CN"/>
        </w:rPr>
        <w:t>。具体项目情况详见下表：</w:t>
      </w:r>
    </w:p>
    <w:p>
      <w:pPr>
        <w:numPr>
          <w:ilvl w:val="0"/>
          <w:numId w:val="0"/>
        </w:numPr>
        <w:spacing w:line="360" w:lineRule="auto"/>
        <w:jc w:val="both"/>
        <w:rPr>
          <w:rFonts w:hint="eastAsia" w:ascii="仿宋" w:hAnsi="仿宋" w:eastAsia="仿宋" w:cs="仿宋"/>
          <w:b/>
          <w:bCs w:val="0"/>
          <w:color w:val="000000"/>
          <w:sz w:val="24"/>
          <w:szCs w:val="24"/>
          <w:lang w:val="en-US" w:eastAsia="zh-CN"/>
        </w:rPr>
      </w:pPr>
      <w:bookmarkStart w:id="0" w:name="_GoBack"/>
      <w:bookmarkEnd w:id="0"/>
    </w:p>
    <w:p>
      <w:pPr>
        <w:numPr>
          <w:ilvl w:val="0"/>
          <w:numId w:val="0"/>
        </w:numPr>
        <w:spacing w:line="360" w:lineRule="auto"/>
        <w:ind w:firstLine="480"/>
        <w:jc w:val="right"/>
        <w:rPr>
          <w:rFonts w:hint="eastAsia" w:ascii="仿宋" w:hAnsi="仿宋" w:eastAsia="仿宋" w:cs="仿宋"/>
          <w:b/>
          <w:bCs w:val="0"/>
          <w:color w:val="000000"/>
          <w:sz w:val="24"/>
          <w:szCs w:val="24"/>
          <w:lang w:val="en-US" w:eastAsia="zh-CN"/>
        </w:rPr>
      </w:pPr>
    </w:p>
    <w:p>
      <w:pPr>
        <w:numPr>
          <w:ilvl w:val="0"/>
          <w:numId w:val="0"/>
        </w:numPr>
        <w:spacing w:line="360" w:lineRule="auto"/>
        <w:ind w:firstLine="480"/>
        <w:jc w:val="right"/>
        <w:rPr>
          <w:rFonts w:hint="default" w:ascii="仿宋" w:hAnsi="仿宋" w:eastAsia="仿宋" w:cs="仿宋"/>
          <w:b/>
          <w:bCs w:val="0"/>
          <w:color w:val="000000"/>
          <w:sz w:val="24"/>
          <w:szCs w:val="24"/>
          <w:lang w:val="en-US" w:eastAsia="zh-CN"/>
        </w:rPr>
      </w:pPr>
      <w:r>
        <w:rPr>
          <w:rFonts w:hint="eastAsia" w:ascii="仿宋" w:hAnsi="仿宋" w:eastAsia="仿宋" w:cs="仿宋"/>
          <w:b/>
          <w:bCs w:val="0"/>
          <w:color w:val="000000"/>
          <w:sz w:val="24"/>
          <w:szCs w:val="24"/>
          <w:lang w:val="en-US" w:eastAsia="zh-CN"/>
        </w:rPr>
        <w:t xml:space="preserve">评估面积≥3000平方公里的项目收费（预算）一览表             </w:t>
      </w:r>
      <w:r>
        <w:rPr>
          <w:rFonts w:hint="eastAsia" w:ascii="仿宋" w:hAnsi="仿宋" w:eastAsia="仿宋" w:cs="仿宋"/>
          <w:b w:val="0"/>
          <w:bCs/>
          <w:color w:val="000000"/>
          <w:sz w:val="21"/>
          <w:szCs w:val="21"/>
          <w:lang w:val="en-US" w:eastAsia="zh-CN"/>
        </w:rPr>
        <w:t>表3</w:t>
      </w:r>
    </w:p>
    <w:tbl>
      <w:tblPr>
        <w:tblStyle w:val="7"/>
        <w:tblW w:w="995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Layout w:type="fixed"/>
        <w:tblCellMar>
          <w:top w:w="0" w:type="dxa"/>
          <w:left w:w="108" w:type="dxa"/>
          <w:bottom w:w="0" w:type="dxa"/>
          <w:right w:w="108" w:type="dxa"/>
        </w:tblCellMar>
      </w:tblPr>
      <w:tblGrid>
        <w:gridCol w:w="661"/>
        <w:gridCol w:w="787"/>
        <w:gridCol w:w="959"/>
        <w:gridCol w:w="939"/>
        <w:gridCol w:w="1150"/>
        <w:gridCol w:w="2886"/>
        <w:gridCol w:w="1312"/>
        <w:gridCol w:w="1264"/>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472" w:hRule="atLeast"/>
          <w:tblHeader/>
          <w:jc w:val="center"/>
        </w:trPr>
        <w:tc>
          <w:tcPr>
            <w:tcW w:w="661" w:type="dxa"/>
            <w:tcBorders>
              <w:top w:val="single" w:color="73C652" w:sz="8" w:space="0"/>
              <w:left w:val="single" w:color="73C652" w:sz="8"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序号</w:t>
            </w:r>
          </w:p>
        </w:tc>
        <w:tc>
          <w:tcPr>
            <w:tcW w:w="787"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所在省</w:t>
            </w:r>
          </w:p>
        </w:tc>
        <w:tc>
          <w:tcPr>
            <w:tcW w:w="959"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所在市</w:t>
            </w:r>
          </w:p>
        </w:tc>
        <w:tc>
          <w:tcPr>
            <w:tcW w:w="939"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所在县/区</w:t>
            </w:r>
          </w:p>
        </w:tc>
        <w:tc>
          <w:tcPr>
            <w:tcW w:w="1150"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项目编号</w:t>
            </w:r>
          </w:p>
        </w:tc>
        <w:tc>
          <w:tcPr>
            <w:tcW w:w="2886"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项目名称</w:t>
            </w:r>
          </w:p>
        </w:tc>
        <w:tc>
          <w:tcPr>
            <w:tcW w:w="1312"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评估面积（平方公里）</w:t>
            </w:r>
          </w:p>
        </w:tc>
        <w:tc>
          <w:tcPr>
            <w:tcW w:w="1264" w:type="dxa"/>
            <w:tcBorders>
              <w:top w:val="single" w:color="73C652" w:sz="8" w:space="0"/>
              <w:left w:val="dotted" w:color="auto" w:sz="4" w:space="0"/>
              <w:bottom w:val="single" w:color="73C652" w:sz="4" w:space="0"/>
              <w:right w:val="single" w:color="73C652" w:sz="8"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最高限价（万元）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61" w:type="dxa"/>
            <w:tcBorders>
              <w:top w:val="single" w:color="73C652"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787"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河北省</w:t>
            </w:r>
          </w:p>
        </w:tc>
        <w:tc>
          <w:tcPr>
            <w:tcW w:w="959"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唐山市</w:t>
            </w:r>
          </w:p>
        </w:tc>
        <w:tc>
          <w:tcPr>
            <w:tcW w:w="939"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市本级</w:t>
            </w:r>
          </w:p>
        </w:tc>
        <w:tc>
          <w:tcPr>
            <w:tcW w:w="1150"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TSSB2023-018</w:t>
            </w:r>
          </w:p>
        </w:tc>
        <w:tc>
          <w:tcPr>
            <w:tcW w:w="2886"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唐山市市本级园林草地定级及基准地价制定项目</w:t>
            </w:r>
          </w:p>
        </w:tc>
        <w:tc>
          <w:tcPr>
            <w:tcW w:w="1312"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6153.47</w:t>
            </w:r>
          </w:p>
        </w:tc>
        <w:tc>
          <w:tcPr>
            <w:tcW w:w="1264" w:type="dxa"/>
            <w:tcBorders>
              <w:top w:val="single" w:color="73C652"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59"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黑龙江省</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大兴安岭地区</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漠河市</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[232701]FDGJ[GK]20230002</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漠河市自然资源局开展园地林地草地基准地价制定有关工作的项目</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18427</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85</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黑龙江省</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鸡西市</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密山市</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[230382]TZGL[CS]20230028-1</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开展园地林地和草地定级工作与基准地价制定工作(二次)</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7731</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51.927</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352"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黑龙江省</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哈尔滨市</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[230101]HC[GK]20230091</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哈尔滨市园地林地草地定级和基准地价制定工作</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53186</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230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黑龙江省</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黑河市</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嫩江市</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[231183]ZHXM[CS]20230011</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开展园地林地草地定级和园地林地草地基准地价制定工作</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15100</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95.06</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内蒙古自治区</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锡林郭勒盟</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阿巴嘎旗</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152522-XMMDL-CS-20230001</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阿巴嘎旗园林草定级和基准地价评估项目</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27500</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68</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内蒙古自治区</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锡林郭勒盟</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苏尼特左旗</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152523-ZXYH01-CS-20230003</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苏尼特左旗园林草分等定级和基准地价项目</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33469</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内蒙古自治区</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赤峰市</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克什克腾旗</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XY-2023CS-08</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克什克腾旗园林草分等定级和基准地价评估工作</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20673</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57.7</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内蒙古自治区</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呼伦贝尔市</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莫力达瓦达斡尔族自治旗</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HZCMQS-C-F-230030</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莫力达瓦达斡尔族自治旗园林草分等定级和基准地价评估工作采购项目</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11000</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180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内蒙古自治区</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呼伦贝尔市</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陈巴尔虎旗</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HZCCQS-C-F-230002</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陈巴尔虎旗园林草分等定级和基准地价评估工作</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21192</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164.5</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78"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宁夏回族自治区</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宁夏回族自治区</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海原县</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 ZL-2022-ZC016</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海原县自然资源局海原县农用地（含耕地、园地、林地、草地）定级与基准地价评估技术服务项目一、二标段</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6899</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107</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山东省</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枣庄市</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SDGP37040000202302000082</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枣庄市园林草分等定级及基准地价更新与监测项目</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4563</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13</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山东省</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枣庄市</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SDGP370400000202302000082</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园林草分等定级及基准地价更新与监测项目</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4563</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156.6</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14</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四川省</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甘孜藏族自治州</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巴塘县</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JHZC-2023-01064</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巴塘县自然资源局园林草地基准地价评估服务采购项目</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8186</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四川省</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甘孜藏族自治州</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新龙县</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N5133292023000084</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新龙县园林草分等定级和基准地价制定</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9182.74</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48</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61"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w:t>
            </w:r>
          </w:p>
        </w:tc>
        <w:tc>
          <w:tcPr>
            <w:tcW w:w="787"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云南省</w:t>
            </w:r>
          </w:p>
        </w:tc>
        <w:tc>
          <w:tcPr>
            <w:tcW w:w="959"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红河哈尼族彝族自治州</w:t>
            </w:r>
          </w:p>
        </w:tc>
        <w:tc>
          <w:tcPr>
            <w:tcW w:w="939"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建水县</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5325247343372192304270001</w:t>
            </w:r>
          </w:p>
        </w:tc>
        <w:tc>
          <w:tcPr>
            <w:tcW w:w="2886"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建水县园地、林地、草地定级和基准地价工作</w:t>
            </w:r>
          </w:p>
        </w:tc>
        <w:tc>
          <w:tcPr>
            <w:tcW w:w="1312"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3789</w:t>
            </w:r>
          </w:p>
        </w:tc>
        <w:tc>
          <w:tcPr>
            <w:tcW w:w="1264"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24</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61" w:type="dxa"/>
            <w:tcBorders>
              <w:top w:val="dotted" w:color="auto" w:sz="4" w:space="0"/>
              <w:left w:val="single" w:color="73C652" w:sz="8" w:space="0"/>
              <w:bottom w:val="single" w:color="73C652" w:sz="8" w:space="0"/>
              <w:right w:val="dotted" w:color="auto" w:sz="4" w:space="0"/>
              <w:tl2br w:val="nil"/>
              <w:tr2bl w:val="nil"/>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合计</w:t>
            </w:r>
          </w:p>
        </w:tc>
        <w:tc>
          <w:tcPr>
            <w:tcW w:w="787" w:type="dxa"/>
            <w:tcBorders>
              <w:top w:val="dotted" w:color="auto" w:sz="4" w:space="0"/>
              <w:left w:val="dotted" w:color="auto" w:sz="4" w:space="0"/>
              <w:bottom w:val="single" w:color="73C652" w:sz="8" w:space="0"/>
              <w:right w:val="dotted" w:color="auto" w:sz="4" w:space="0"/>
              <w:tl2br w:val="nil"/>
              <w:tr2bl w:val="nil"/>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959" w:type="dxa"/>
            <w:tcBorders>
              <w:top w:val="dotted" w:color="auto" w:sz="4" w:space="0"/>
              <w:left w:val="dotted" w:color="auto" w:sz="4" w:space="0"/>
              <w:bottom w:val="single" w:color="73C652" w:sz="8" w:space="0"/>
              <w:right w:val="dotted" w:color="auto" w:sz="4" w:space="0"/>
              <w:tl2br w:val="nil"/>
              <w:tr2bl w:val="nil"/>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939" w:type="dxa"/>
            <w:tcBorders>
              <w:top w:val="dotted" w:color="auto" w:sz="4" w:space="0"/>
              <w:left w:val="dotted" w:color="auto" w:sz="4" w:space="0"/>
              <w:bottom w:val="single" w:color="73C652" w:sz="8" w:space="0"/>
              <w:right w:val="dotted" w:color="auto" w:sz="4" w:space="0"/>
              <w:tl2br w:val="nil"/>
              <w:tr2bl w:val="nil"/>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1150" w:type="dxa"/>
            <w:tcBorders>
              <w:top w:val="dotted" w:color="auto" w:sz="4" w:space="0"/>
              <w:left w:val="dotted" w:color="auto" w:sz="4" w:space="0"/>
              <w:bottom w:val="single" w:color="73C652" w:sz="8" w:space="0"/>
              <w:right w:val="dotted" w:color="auto" w:sz="4" w:space="0"/>
              <w:tl2br w:val="nil"/>
              <w:tr2bl w:val="nil"/>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2886" w:type="dxa"/>
            <w:tcBorders>
              <w:top w:val="dotted" w:color="auto" w:sz="4" w:space="0"/>
              <w:left w:val="dotted" w:color="auto" w:sz="4" w:space="0"/>
              <w:bottom w:val="single" w:color="73C652" w:sz="8" w:space="0"/>
              <w:right w:val="dotted" w:color="auto" w:sz="4" w:space="0"/>
              <w:tl2br w:val="nil"/>
              <w:tr2bl w:val="nil"/>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1312" w:type="dxa"/>
            <w:tcBorders>
              <w:top w:val="dotted" w:color="auto" w:sz="4" w:space="0"/>
              <w:left w:val="dotted" w:color="auto" w:sz="4" w:space="0"/>
              <w:bottom w:val="single" w:color="73C652" w:sz="8" w:space="0"/>
              <w:right w:val="dotted" w:color="auto" w:sz="4" w:space="0"/>
              <w:tl2br w:val="nil"/>
              <w:tr2bl w:val="nil"/>
            </w:tcBorders>
            <w:shd w:val="clear" w:color="auto" w:fill="97D57F"/>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1264" w:type="dxa"/>
            <w:tcBorders>
              <w:top w:val="dotted" w:color="auto" w:sz="4" w:space="0"/>
              <w:left w:val="dotted" w:color="auto" w:sz="4" w:space="0"/>
              <w:bottom w:val="single" w:color="73C652" w:sz="8" w:space="0"/>
              <w:right w:val="single" w:color="73C652" w:sz="8" w:space="0"/>
              <w:tl2br w:val="nil"/>
              <w:tr2bl w:val="nil"/>
            </w:tcBorders>
            <w:shd w:val="clear" w:color="auto" w:fill="97D57F"/>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1577.79</w:t>
            </w:r>
          </w:p>
        </w:tc>
      </w:tr>
    </w:tbl>
    <w:p>
      <w:pPr>
        <w:numPr>
          <w:ilvl w:val="0"/>
          <w:numId w:val="0"/>
        </w:numPr>
        <w:spacing w:line="360" w:lineRule="auto"/>
        <w:ind w:firstLine="480"/>
        <w:rPr>
          <w:rFonts w:hint="eastAsia" w:ascii="仿宋" w:hAnsi="仿宋" w:eastAsia="仿宋" w:cs="仿宋"/>
          <w:bCs/>
          <w:color w:val="000000"/>
          <w:sz w:val="24"/>
          <w:szCs w:val="24"/>
          <w:lang w:val="en-US" w:eastAsia="zh-CN"/>
        </w:rPr>
      </w:pPr>
    </w:p>
    <w:p>
      <w:pPr>
        <w:numPr>
          <w:ilvl w:val="0"/>
          <w:numId w:val="0"/>
        </w:numPr>
        <w:spacing w:line="360" w:lineRule="auto"/>
        <w:ind w:firstLine="480"/>
        <w:rPr>
          <w:rFonts w:hint="eastAsia" w:ascii="仿宋" w:hAnsi="仿宋" w:eastAsia="仿宋" w:cs="仿宋"/>
          <w:bCs/>
          <w:color w:val="000000"/>
          <w:sz w:val="24"/>
          <w:szCs w:val="24"/>
          <w:lang w:val="en-US" w:eastAsia="zh-CN"/>
        </w:rPr>
      </w:pPr>
    </w:p>
    <w:p>
      <w:pPr>
        <w:numPr>
          <w:ilvl w:val="0"/>
          <w:numId w:val="0"/>
        </w:numPr>
        <w:spacing w:line="360" w:lineRule="auto"/>
        <w:ind w:firstLine="480"/>
        <w:rPr>
          <w:rFonts w:hint="eastAsia" w:ascii="仿宋" w:hAnsi="仿宋" w:eastAsia="仿宋" w:cs="仿宋"/>
          <w:bCs/>
          <w:color w:val="000000"/>
          <w:sz w:val="24"/>
          <w:szCs w:val="24"/>
          <w:lang w:val="en-US" w:eastAsia="zh-CN"/>
        </w:rPr>
      </w:pPr>
    </w:p>
    <w:p>
      <w:pPr>
        <w:numPr>
          <w:ilvl w:val="0"/>
          <w:numId w:val="0"/>
        </w:numPr>
        <w:spacing w:line="360" w:lineRule="auto"/>
        <w:ind w:firstLine="480"/>
        <w:rPr>
          <w:rFonts w:hint="eastAsia" w:ascii="仿宋" w:hAnsi="仿宋" w:eastAsia="仿宋" w:cs="仿宋"/>
          <w:bCs/>
          <w:color w:val="000000"/>
          <w:sz w:val="24"/>
          <w:szCs w:val="24"/>
          <w:lang w:val="en-US" w:eastAsia="zh-CN"/>
        </w:rPr>
      </w:pPr>
    </w:p>
    <w:p>
      <w:pPr>
        <w:numPr>
          <w:ilvl w:val="0"/>
          <w:numId w:val="0"/>
        </w:numPr>
        <w:spacing w:line="360" w:lineRule="auto"/>
        <w:ind w:firstLine="480"/>
        <w:rPr>
          <w:rFonts w:hint="eastAsia" w:ascii="仿宋" w:hAnsi="仿宋" w:eastAsia="仿宋" w:cs="仿宋"/>
          <w:bCs/>
          <w:color w:val="000000"/>
          <w:sz w:val="24"/>
          <w:szCs w:val="24"/>
          <w:lang w:val="en-US" w:eastAsia="zh-CN"/>
        </w:rPr>
      </w:pPr>
    </w:p>
    <w:p>
      <w:pPr>
        <w:numPr>
          <w:ilvl w:val="0"/>
          <w:numId w:val="0"/>
        </w:numPr>
        <w:spacing w:line="360" w:lineRule="auto"/>
        <w:ind w:firstLine="480"/>
        <w:rPr>
          <w:rFonts w:hint="eastAsia" w:ascii="仿宋" w:hAnsi="仿宋" w:eastAsia="仿宋" w:cs="仿宋"/>
          <w:bCs/>
          <w:color w:val="000000"/>
          <w:sz w:val="24"/>
          <w:szCs w:val="24"/>
          <w:lang w:val="en-US" w:eastAsia="zh-CN"/>
        </w:rPr>
      </w:pPr>
    </w:p>
    <w:p>
      <w:pPr>
        <w:numPr>
          <w:ilvl w:val="0"/>
          <w:numId w:val="0"/>
        </w:numPr>
        <w:spacing w:line="360" w:lineRule="auto"/>
        <w:ind w:firstLine="48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4、2000km²≤评估面积＜3000km²的评估项目收费（预算）分析</w:t>
      </w:r>
    </w:p>
    <w:p>
      <w:pPr>
        <w:numPr>
          <w:ilvl w:val="0"/>
          <w:numId w:val="0"/>
        </w:numPr>
        <w:spacing w:line="360" w:lineRule="auto"/>
        <w:ind w:firstLine="48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通过对本次调研涉及的41个园地林地草地定级和基准地价评估服务项目收费（预算）进行整理分析得出，其中评估面积大于等于2000平方公里小于3000平方公里的评估项目有8个，分别分布在安徽省、黑龙江省、内蒙自治区、山东省、四川省、重庆市，8个项目的总收费（预算）483.08万元，</w:t>
      </w:r>
      <w:r>
        <w:rPr>
          <w:rFonts w:hint="eastAsia" w:ascii="仿宋" w:hAnsi="仿宋" w:eastAsia="仿宋" w:cs="仿宋"/>
          <w:b/>
          <w:bCs w:val="0"/>
          <w:color w:val="000000"/>
          <w:sz w:val="24"/>
          <w:szCs w:val="24"/>
          <w:u w:val="single"/>
          <w:lang w:val="en-US" w:eastAsia="zh-CN"/>
        </w:rPr>
        <w:t>测算出平均每个项目的收费（预算）为60.38万元（2000km²≤评估面积＜3000km²）。</w:t>
      </w:r>
      <w:r>
        <w:rPr>
          <w:rFonts w:hint="eastAsia" w:ascii="仿宋" w:hAnsi="仿宋" w:eastAsia="仿宋" w:cs="仿宋"/>
          <w:bCs/>
          <w:color w:val="000000"/>
          <w:sz w:val="24"/>
          <w:szCs w:val="24"/>
          <w:lang w:val="en-US" w:eastAsia="zh-CN"/>
        </w:rPr>
        <w:t>具体项目情况详见下表：</w:t>
      </w:r>
    </w:p>
    <w:p>
      <w:pPr>
        <w:numPr>
          <w:ilvl w:val="0"/>
          <w:numId w:val="0"/>
        </w:numPr>
        <w:spacing w:line="360" w:lineRule="auto"/>
        <w:ind w:firstLine="480"/>
        <w:jc w:val="right"/>
        <w:rPr>
          <w:rFonts w:hint="eastAsia" w:ascii="仿宋" w:hAnsi="仿宋" w:eastAsia="仿宋" w:cs="仿宋"/>
          <w:b/>
          <w:bCs w:val="0"/>
          <w:color w:val="000000"/>
          <w:sz w:val="24"/>
          <w:szCs w:val="24"/>
          <w:lang w:val="en-US" w:eastAsia="zh-CN"/>
        </w:rPr>
      </w:pPr>
      <w:r>
        <w:rPr>
          <w:rFonts w:hint="eastAsia" w:ascii="仿宋" w:hAnsi="仿宋" w:eastAsia="仿宋" w:cs="仿宋"/>
          <w:b/>
          <w:bCs w:val="0"/>
          <w:color w:val="000000"/>
          <w:sz w:val="24"/>
          <w:szCs w:val="24"/>
          <w:lang w:val="en-US" w:eastAsia="zh-CN"/>
        </w:rPr>
        <w:t xml:space="preserve">     2000km²≤评估面积＜3000km²的项目收费（预算）一览表            </w:t>
      </w:r>
      <w:r>
        <w:rPr>
          <w:rFonts w:hint="eastAsia" w:ascii="仿宋" w:hAnsi="仿宋" w:eastAsia="仿宋" w:cs="仿宋"/>
          <w:b w:val="0"/>
          <w:bCs/>
          <w:color w:val="000000"/>
          <w:sz w:val="21"/>
          <w:szCs w:val="21"/>
          <w:lang w:val="en-US" w:eastAsia="zh-CN"/>
        </w:rPr>
        <w:t>表4</w:t>
      </w:r>
    </w:p>
    <w:tbl>
      <w:tblPr>
        <w:tblStyle w:val="7"/>
        <w:tblW w:w="9700"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Layout w:type="fixed"/>
        <w:tblCellMar>
          <w:top w:w="0" w:type="dxa"/>
          <w:left w:w="108" w:type="dxa"/>
          <w:bottom w:w="0" w:type="dxa"/>
          <w:right w:w="108" w:type="dxa"/>
        </w:tblCellMar>
      </w:tblPr>
      <w:tblGrid>
        <w:gridCol w:w="688"/>
        <w:gridCol w:w="850"/>
        <w:gridCol w:w="786"/>
        <w:gridCol w:w="764"/>
        <w:gridCol w:w="1150"/>
        <w:gridCol w:w="3162"/>
        <w:gridCol w:w="1238"/>
        <w:gridCol w:w="1062"/>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472" w:hRule="atLeast"/>
          <w:tblHeader/>
          <w:jc w:val="center"/>
        </w:trPr>
        <w:tc>
          <w:tcPr>
            <w:tcW w:w="688" w:type="dxa"/>
            <w:tcBorders>
              <w:top w:val="single" w:color="73C652" w:sz="8" w:space="0"/>
              <w:left w:val="single" w:color="73C652" w:sz="8"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序号</w:t>
            </w:r>
          </w:p>
        </w:tc>
        <w:tc>
          <w:tcPr>
            <w:tcW w:w="850"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所在省</w:t>
            </w:r>
          </w:p>
        </w:tc>
        <w:tc>
          <w:tcPr>
            <w:tcW w:w="786"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所在市</w:t>
            </w:r>
          </w:p>
        </w:tc>
        <w:tc>
          <w:tcPr>
            <w:tcW w:w="764"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所在县/区</w:t>
            </w:r>
          </w:p>
        </w:tc>
        <w:tc>
          <w:tcPr>
            <w:tcW w:w="1150"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项目编号</w:t>
            </w:r>
          </w:p>
        </w:tc>
        <w:tc>
          <w:tcPr>
            <w:tcW w:w="3162"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项目名称</w:t>
            </w:r>
          </w:p>
        </w:tc>
        <w:tc>
          <w:tcPr>
            <w:tcW w:w="1238"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评估面积（平方公里）</w:t>
            </w:r>
          </w:p>
        </w:tc>
        <w:tc>
          <w:tcPr>
            <w:tcW w:w="1062" w:type="dxa"/>
            <w:tcBorders>
              <w:top w:val="single" w:color="73C652" w:sz="8" w:space="0"/>
              <w:left w:val="dotted" w:color="auto" w:sz="4" w:space="0"/>
              <w:bottom w:val="single" w:color="73C652" w:sz="4" w:space="0"/>
              <w:right w:val="single" w:color="73C652" w:sz="8"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最高限价（万元）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88" w:type="dxa"/>
            <w:tcBorders>
              <w:top w:val="single" w:color="73C652"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850"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安徽省</w:t>
            </w:r>
          </w:p>
        </w:tc>
        <w:tc>
          <w:tcPr>
            <w:tcW w:w="786"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芜湖市</w:t>
            </w:r>
          </w:p>
        </w:tc>
        <w:tc>
          <w:tcPr>
            <w:tcW w:w="764"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无为市</w:t>
            </w:r>
          </w:p>
        </w:tc>
        <w:tc>
          <w:tcPr>
            <w:tcW w:w="1150"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2023WWZGJLY0002</w:t>
            </w:r>
          </w:p>
        </w:tc>
        <w:tc>
          <w:tcPr>
            <w:tcW w:w="3162"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无为市园地林地草地定级和基准地价制定服务项目</w:t>
            </w:r>
          </w:p>
        </w:tc>
        <w:tc>
          <w:tcPr>
            <w:tcW w:w="1238"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2206</w:t>
            </w:r>
          </w:p>
        </w:tc>
        <w:tc>
          <w:tcPr>
            <w:tcW w:w="1062" w:type="dxa"/>
            <w:tcBorders>
              <w:top w:val="single" w:color="73C652"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159"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黑龙江省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哈尔滨市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方正县</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[230124]HLJXFY[CS]20230002</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方正县园地林地草地基准地价报告编制项目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2976</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36</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内蒙古自治区</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包头市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土默特右旗</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BTZCTYS-C-F230087</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园林草分等定级和基准地价评估项目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2368</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80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352"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山东省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潍坊市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寿光市</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SDGP370783000202302000182</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山东省潍坊市寿光市自然资源和规划局寿光市园林草分等定级基准地价项目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2180</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56.2</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山东省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青岛市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黄岛区</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HDCG2022009261</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青岛西海岸新区园、林、草地定级及基准地价制订项目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2128</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149.25</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四川省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凉山彝族自治州</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越西县</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公开选择越西县园地林地草地定级和基准地价制定工作技术服务单位</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2256.56</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28</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四川省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南充市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南部县</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N5113212023000102</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南部县园林草地定级和基准地价制定</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2235</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73.628</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重庆市</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重庆市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合川区</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合川区园地、林地、草地定级和基准地价制定技术服务工作</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2343</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40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31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合计</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483.08</w:t>
            </w:r>
          </w:p>
        </w:tc>
      </w:tr>
    </w:tbl>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5、1000km²≤评估面积＜2000km²的评估项目收费（预算）分析</w:t>
      </w:r>
    </w:p>
    <w:p>
      <w:pPr>
        <w:numPr>
          <w:ilvl w:val="0"/>
          <w:numId w:val="0"/>
        </w:numPr>
        <w:spacing w:line="360" w:lineRule="auto"/>
        <w:ind w:firstLine="48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通过对本次调研涉及的41个园地林地草地定级和基准地价评估服务项目收费（预算）进行整理分析得出，其中评估面积大于等于1000平方公里小于2000平方公里的评估项目有7个，分别分布在广东省、湖北省、江苏省、山东省、四川省，7个项目的总收费（预算）292.2万元，</w:t>
      </w:r>
      <w:r>
        <w:rPr>
          <w:rFonts w:hint="eastAsia" w:ascii="仿宋" w:hAnsi="仿宋" w:eastAsia="仿宋" w:cs="仿宋"/>
          <w:b/>
          <w:bCs w:val="0"/>
          <w:color w:val="000000"/>
          <w:sz w:val="24"/>
          <w:szCs w:val="24"/>
          <w:u w:val="single"/>
          <w:lang w:val="en-US" w:eastAsia="zh-CN"/>
        </w:rPr>
        <w:t>测算出平均每个项目的收费（预算）为41.74万元（1000km²≤评估面积＜2000km²）。</w:t>
      </w:r>
      <w:r>
        <w:rPr>
          <w:rFonts w:hint="eastAsia" w:ascii="仿宋" w:hAnsi="仿宋" w:eastAsia="仿宋" w:cs="仿宋"/>
          <w:bCs/>
          <w:color w:val="000000"/>
          <w:sz w:val="24"/>
          <w:szCs w:val="24"/>
          <w:lang w:val="en-US" w:eastAsia="zh-CN"/>
        </w:rPr>
        <w:t>具体项目情况详见下表：</w:t>
      </w:r>
    </w:p>
    <w:p>
      <w:pPr>
        <w:numPr>
          <w:ilvl w:val="0"/>
          <w:numId w:val="0"/>
        </w:numPr>
        <w:spacing w:line="360" w:lineRule="auto"/>
        <w:ind w:firstLine="480"/>
        <w:jc w:val="right"/>
        <w:rPr>
          <w:rFonts w:hint="eastAsia" w:ascii="仿宋" w:hAnsi="仿宋" w:eastAsia="仿宋" w:cs="仿宋"/>
          <w:b/>
          <w:bCs w:val="0"/>
          <w:color w:val="000000"/>
          <w:sz w:val="24"/>
          <w:szCs w:val="24"/>
          <w:lang w:val="en-US" w:eastAsia="zh-CN"/>
        </w:rPr>
      </w:pPr>
      <w:r>
        <w:rPr>
          <w:rFonts w:hint="eastAsia" w:ascii="仿宋" w:hAnsi="仿宋" w:eastAsia="仿宋" w:cs="仿宋"/>
          <w:b/>
          <w:bCs w:val="0"/>
          <w:color w:val="000000"/>
          <w:sz w:val="24"/>
          <w:szCs w:val="24"/>
          <w:lang w:val="en-US" w:eastAsia="zh-CN"/>
        </w:rPr>
        <w:t xml:space="preserve">1000km²≤评估面积＜2000km²的项目收费（预算）一览表           </w:t>
      </w:r>
      <w:r>
        <w:rPr>
          <w:rFonts w:hint="eastAsia" w:ascii="仿宋" w:hAnsi="仿宋" w:eastAsia="仿宋" w:cs="仿宋"/>
          <w:b w:val="0"/>
          <w:bCs/>
          <w:color w:val="000000"/>
          <w:sz w:val="21"/>
          <w:szCs w:val="21"/>
          <w:lang w:val="en-US" w:eastAsia="zh-CN"/>
        </w:rPr>
        <w:t>表5</w:t>
      </w:r>
    </w:p>
    <w:tbl>
      <w:tblPr>
        <w:tblStyle w:val="7"/>
        <w:tblW w:w="9700"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Layout w:type="fixed"/>
        <w:tblCellMar>
          <w:top w:w="0" w:type="dxa"/>
          <w:left w:w="108" w:type="dxa"/>
          <w:bottom w:w="0" w:type="dxa"/>
          <w:right w:w="108" w:type="dxa"/>
        </w:tblCellMar>
      </w:tblPr>
      <w:tblGrid>
        <w:gridCol w:w="688"/>
        <w:gridCol w:w="850"/>
        <w:gridCol w:w="786"/>
        <w:gridCol w:w="764"/>
        <w:gridCol w:w="1150"/>
        <w:gridCol w:w="3162"/>
        <w:gridCol w:w="1238"/>
        <w:gridCol w:w="1062"/>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72" w:hRule="atLeast"/>
          <w:tblHeader/>
          <w:jc w:val="center"/>
        </w:trPr>
        <w:tc>
          <w:tcPr>
            <w:tcW w:w="688" w:type="dxa"/>
            <w:tcBorders>
              <w:top w:val="single" w:color="73C652" w:sz="8" w:space="0"/>
              <w:left w:val="single" w:color="73C652" w:sz="8"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序号</w:t>
            </w:r>
          </w:p>
        </w:tc>
        <w:tc>
          <w:tcPr>
            <w:tcW w:w="850"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所在省</w:t>
            </w:r>
          </w:p>
        </w:tc>
        <w:tc>
          <w:tcPr>
            <w:tcW w:w="786"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所在市</w:t>
            </w:r>
          </w:p>
        </w:tc>
        <w:tc>
          <w:tcPr>
            <w:tcW w:w="764"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所在县/区</w:t>
            </w:r>
          </w:p>
        </w:tc>
        <w:tc>
          <w:tcPr>
            <w:tcW w:w="1150"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项目编号</w:t>
            </w:r>
          </w:p>
        </w:tc>
        <w:tc>
          <w:tcPr>
            <w:tcW w:w="3162"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项目名称</w:t>
            </w:r>
          </w:p>
        </w:tc>
        <w:tc>
          <w:tcPr>
            <w:tcW w:w="1238"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评估面积（平方公里）</w:t>
            </w:r>
          </w:p>
        </w:tc>
        <w:tc>
          <w:tcPr>
            <w:tcW w:w="1062" w:type="dxa"/>
            <w:tcBorders>
              <w:top w:val="single" w:color="73C652" w:sz="8" w:space="0"/>
              <w:left w:val="dotted" w:color="auto" w:sz="4" w:space="0"/>
              <w:bottom w:val="single" w:color="73C652" w:sz="4" w:space="0"/>
              <w:right w:val="single" w:color="73C652" w:sz="8"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最高限价（万元）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8" w:type="dxa"/>
            <w:tcBorders>
              <w:top w:val="single" w:color="73C652"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850"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广东省</w:t>
            </w:r>
          </w:p>
        </w:tc>
        <w:tc>
          <w:tcPr>
            <w:tcW w:w="786"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云浮市</w:t>
            </w:r>
          </w:p>
        </w:tc>
        <w:tc>
          <w:tcPr>
            <w:tcW w:w="764"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新兴县</w:t>
            </w:r>
          </w:p>
        </w:tc>
        <w:tc>
          <w:tcPr>
            <w:tcW w:w="1150"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445321MB2D088412309220948</w:t>
            </w:r>
          </w:p>
        </w:tc>
        <w:tc>
          <w:tcPr>
            <w:tcW w:w="3162"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新星县园地草地定级基准地价制定工作项目（土地评估）</w:t>
            </w:r>
          </w:p>
        </w:tc>
        <w:tc>
          <w:tcPr>
            <w:tcW w:w="1238"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1520</w:t>
            </w:r>
          </w:p>
        </w:tc>
        <w:tc>
          <w:tcPr>
            <w:tcW w:w="1062" w:type="dxa"/>
            <w:tcBorders>
              <w:top w:val="single" w:color="73C652"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29</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59"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湖北省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随州市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ZXCGDL0221213G</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随州市本级园地、林地、草地定级工作</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1425</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36</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江苏省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徐州市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丰林县</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[230724]HLJDZ[CS]20230004</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丰林县园地林地草地定级及基准地价制定项目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1450.2</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61.8</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山东省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临沂市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费县</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SDGP371325000202302000043</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费县园林草分等定级及基准地价制定项目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1660.11</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山东省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东营市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广饶县</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SDGP370523000202302000009</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广饶县园林草分等、定级及基准地价制订项目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1138</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四川省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遂宁市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安居区</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JZDZB.竞磋（2023）064号</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遂宁市安居区园地林地草地基准地价制定服务项目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1258.2</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25.6</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四川省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资阳市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雁江区</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SCYZF-2023-CG089号</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雁江区园、林、草地分等定级及基准地价制订项目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1633</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29.8</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31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合计</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292.2</w:t>
            </w:r>
          </w:p>
        </w:tc>
      </w:tr>
    </w:tbl>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eastAsia" w:ascii="仿宋" w:hAnsi="仿宋" w:eastAsia="仿宋" w:cs="仿宋"/>
          <w:bCs/>
          <w:color w:val="000000"/>
          <w:sz w:val="24"/>
          <w:szCs w:val="24"/>
          <w:lang w:val="en-US" w:eastAsia="zh-CN"/>
        </w:rPr>
      </w:pPr>
    </w:p>
    <w:p>
      <w:pPr>
        <w:numPr>
          <w:ilvl w:val="0"/>
          <w:numId w:val="0"/>
        </w:numPr>
        <w:spacing w:line="360" w:lineRule="auto"/>
        <w:ind w:firstLine="480" w:firstLineChars="200"/>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6、评估面积＜1000km²的评估项目收费（预算）分析</w:t>
      </w:r>
    </w:p>
    <w:p>
      <w:pPr>
        <w:numPr>
          <w:ilvl w:val="0"/>
          <w:numId w:val="0"/>
        </w:numPr>
        <w:spacing w:line="360" w:lineRule="auto"/>
        <w:ind w:firstLine="48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通过对本次调研涉及的41个园地林地草地定级和基准地价评估服务项目收费（预算）进行整理分析得出，其中评估面积小于1000平方公里的评估项目有10个，分别分布在四川省、广东省、内蒙古自治区、安徽省、福建省、山东省，10个项目的总收费（预算）342.67万元，</w:t>
      </w:r>
      <w:r>
        <w:rPr>
          <w:rFonts w:hint="eastAsia" w:ascii="仿宋" w:hAnsi="仿宋" w:eastAsia="仿宋" w:cs="仿宋"/>
          <w:b/>
          <w:bCs w:val="0"/>
          <w:color w:val="000000"/>
          <w:sz w:val="24"/>
          <w:szCs w:val="24"/>
          <w:u w:val="single"/>
          <w:lang w:val="en-US" w:eastAsia="zh-CN"/>
        </w:rPr>
        <w:t>测算出平均每个项目的收费（预算）为34.27万元（评估面积＜1000km²）。</w:t>
      </w:r>
      <w:r>
        <w:rPr>
          <w:rFonts w:hint="eastAsia" w:ascii="仿宋" w:hAnsi="仿宋" w:eastAsia="仿宋" w:cs="仿宋"/>
          <w:bCs/>
          <w:color w:val="000000"/>
          <w:sz w:val="24"/>
          <w:szCs w:val="24"/>
          <w:lang w:val="en-US" w:eastAsia="zh-CN"/>
        </w:rPr>
        <w:t>具体项目情况详见下表：</w:t>
      </w:r>
    </w:p>
    <w:p>
      <w:pPr>
        <w:numPr>
          <w:ilvl w:val="0"/>
          <w:numId w:val="0"/>
        </w:numPr>
        <w:spacing w:line="360" w:lineRule="auto"/>
        <w:ind w:firstLine="480"/>
        <w:jc w:val="right"/>
        <w:rPr>
          <w:rFonts w:hint="eastAsia" w:ascii="仿宋" w:hAnsi="仿宋" w:eastAsia="仿宋" w:cs="仿宋"/>
          <w:b/>
          <w:bCs w:val="0"/>
          <w:color w:val="000000"/>
          <w:sz w:val="24"/>
          <w:szCs w:val="24"/>
          <w:lang w:val="en-US" w:eastAsia="zh-CN"/>
        </w:rPr>
      </w:pPr>
      <w:r>
        <w:rPr>
          <w:rFonts w:hint="eastAsia" w:ascii="仿宋" w:hAnsi="仿宋" w:eastAsia="仿宋" w:cs="仿宋"/>
          <w:b/>
          <w:bCs w:val="0"/>
          <w:color w:val="000000"/>
          <w:sz w:val="24"/>
          <w:szCs w:val="24"/>
          <w:lang w:val="en-US" w:eastAsia="zh-CN"/>
        </w:rPr>
        <w:t xml:space="preserve">评估面积＜1000km²的项目收费（预算）一览表               </w:t>
      </w:r>
      <w:r>
        <w:rPr>
          <w:rFonts w:hint="eastAsia" w:ascii="仿宋" w:hAnsi="仿宋" w:eastAsia="仿宋" w:cs="仿宋"/>
          <w:b w:val="0"/>
          <w:bCs/>
          <w:color w:val="000000"/>
          <w:sz w:val="21"/>
          <w:szCs w:val="21"/>
          <w:lang w:val="en-US" w:eastAsia="zh-CN"/>
        </w:rPr>
        <w:t>表6</w:t>
      </w:r>
    </w:p>
    <w:tbl>
      <w:tblPr>
        <w:tblStyle w:val="7"/>
        <w:tblW w:w="9700"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Layout w:type="fixed"/>
        <w:tblCellMar>
          <w:top w:w="0" w:type="dxa"/>
          <w:left w:w="108" w:type="dxa"/>
          <w:bottom w:w="0" w:type="dxa"/>
          <w:right w:w="108" w:type="dxa"/>
        </w:tblCellMar>
      </w:tblPr>
      <w:tblGrid>
        <w:gridCol w:w="688"/>
        <w:gridCol w:w="850"/>
        <w:gridCol w:w="786"/>
        <w:gridCol w:w="764"/>
        <w:gridCol w:w="1150"/>
        <w:gridCol w:w="3162"/>
        <w:gridCol w:w="1238"/>
        <w:gridCol w:w="1062"/>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472" w:hRule="atLeast"/>
          <w:tblHeader/>
          <w:jc w:val="center"/>
        </w:trPr>
        <w:tc>
          <w:tcPr>
            <w:tcW w:w="688" w:type="dxa"/>
            <w:tcBorders>
              <w:top w:val="single" w:color="73C652" w:sz="8" w:space="0"/>
              <w:left w:val="single" w:color="73C652" w:sz="8"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序号</w:t>
            </w:r>
          </w:p>
        </w:tc>
        <w:tc>
          <w:tcPr>
            <w:tcW w:w="850"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所在省</w:t>
            </w:r>
          </w:p>
        </w:tc>
        <w:tc>
          <w:tcPr>
            <w:tcW w:w="786"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所在市</w:t>
            </w:r>
          </w:p>
        </w:tc>
        <w:tc>
          <w:tcPr>
            <w:tcW w:w="764"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所在县/区</w:t>
            </w:r>
          </w:p>
        </w:tc>
        <w:tc>
          <w:tcPr>
            <w:tcW w:w="1150"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项目编号</w:t>
            </w:r>
          </w:p>
        </w:tc>
        <w:tc>
          <w:tcPr>
            <w:tcW w:w="3162"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项目名称</w:t>
            </w:r>
          </w:p>
        </w:tc>
        <w:tc>
          <w:tcPr>
            <w:tcW w:w="1238" w:type="dxa"/>
            <w:tcBorders>
              <w:top w:val="single" w:color="73C652" w:sz="8"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评估面积（平方公里）</w:t>
            </w:r>
          </w:p>
        </w:tc>
        <w:tc>
          <w:tcPr>
            <w:tcW w:w="1062" w:type="dxa"/>
            <w:tcBorders>
              <w:top w:val="single" w:color="73C652" w:sz="8" w:space="0"/>
              <w:left w:val="dotted" w:color="auto" w:sz="4" w:space="0"/>
              <w:bottom w:val="single" w:color="73C652" w:sz="4" w:space="0"/>
              <w:right w:val="single" w:color="73C652" w:sz="8" w:space="0"/>
              <w:tl2br w:val="nil"/>
              <w:tr2bl w:val="nil"/>
            </w:tcBorders>
            <w:shd w:val="clear" w:color="auto" w:fill="97D57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最高限价（万元）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8" w:type="dxa"/>
            <w:tcBorders>
              <w:top w:val="single" w:color="73C652"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850"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广东省</w:t>
            </w:r>
          </w:p>
        </w:tc>
        <w:tc>
          <w:tcPr>
            <w:tcW w:w="786"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汕头市</w:t>
            </w:r>
          </w:p>
        </w:tc>
        <w:tc>
          <w:tcPr>
            <w:tcW w:w="764"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金平区、龙湖区</w:t>
            </w:r>
          </w:p>
        </w:tc>
        <w:tc>
          <w:tcPr>
            <w:tcW w:w="1150"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44050077308738X2307101581</w:t>
            </w:r>
          </w:p>
        </w:tc>
        <w:tc>
          <w:tcPr>
            <w:tcW w:w="3162"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汕头市本级（金平区、龙湖区）园、林、草地基准地价制定</w:t>
            </w:r>
          </w:p>
        </w:tc>
        <w:tc>
          <w:tcPr>
            <w:tcW w:w="1238" w:type="dxa"/>
            <w:tcBorders>
              <w:top w:val="single" w:color="73C652"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212.29</w:t>
            </w:r>
          </w:p>
        </w:tc>
        <w:tc>
          <w:tcPr>
            <w:tcW w:w="1062" w:type="dxa"/>
            <w:tcBorders>
              <w:top w:val="single" w:color="73C652"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40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59"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广东省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汕头市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潮阳区</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44051373985774X2309261427</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潮阳区园地林地草地基准地价成果</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674.67</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安徽省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芜湖市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湾沚区</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湾自然资规（2023）016号</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芜湖市湾沚区园地林地草地定级和基准地价制定服务单位选取项目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667</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25</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352"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福建省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泉州市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泉港区</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ZXDCG2023048</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泉港区园地林地草地基准地价编制</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306</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40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内蒙古自治区</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呼伦贝尔市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扎赉诺尔区</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NMGZK-2023-008</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扎赉诺尔区园林草分等定级和基准地价评估工作项目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311.97</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48</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内蒙古自治区</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计划单列市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满洲里市</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HY-2022-ZC-23-1</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满洲里市园、林、草分等定级和基准地价评估工作（二次）</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730</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50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山东省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泰安市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泰安旅游经济开发区</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SDGP370996000202302000007</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泰安旅游经济开发区自然资源评价评估工作（园林草分等定级和基准地价更新）</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44</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28.5</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四川省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内江市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隆昌市</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N5110832023000164</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隆昌市园地林地草地定级和基准地价制定工作</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794</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32.3</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四川省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雅安市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名山区</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N5118032023000048</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雅安市名山区园林草定级和基准地价制定</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614</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30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9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四川省</w:t>
            </w: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成都市</w:t>
            </w: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成华区</w:t>
            </w: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ZRXN-2023-060</w:t>
            </w: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成华区园地林地草地定级和基准地价制定技术服务采购项目</w:t>
            </w: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110.6</w:t>
            </w: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28.87</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310" w:hRule="atLeast"/>
          <w:jc w:val="center"/>
        </w:trPr>
        <w:tc>
          <w:tcPr>
            <w:tcW w:w="688" w:type="dxa"/>
            <w:tcBorders>
              <w:top w:val="dotted" w:color="auto" w:sz="4" w:space="0"/>
              <w:left w:val="single" w:color="73C652" w:sz="8"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b/>
                <w:bCs/>
                <w:i w:val="0"/>
                <w:iCs w:val="0"/>
                <w:color w:val="000000"/>
                <w:kern w:val="0"/>
                <w:sz w:val="18"/>
                <w:szCs w:val="18"/>
                <w:u w:val="none"/>
                <w:lang w:val="en-US" w:eastAsia="zh-CN" w:bidi="ar"/>
              </w:rPr>
              <w:t>合计</w:t>
            </w:r>
          </w:p>
        </w:tc>
        <w:tc>
          <w:tcPr>
            <w:tcW w:w="850"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p>
        </w:tc>
        <w:tc>
          <w:tcPr>
            <w:tcW w:w="786"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p>
        </w:tc>
        <w:tc>
          <w:tcPr>
            <w:tcW w:w="764"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p>
        </w:tc>
        <w:tc>
          <w:tcPr>
            <w:tcW w:w="1150"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162"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p>
        </w:tc>
        <w:tc>
          <w:tcPr>
            <w:tcW w:w="1238" w:type="dxa"/>
            <w:tcBorders>
              <w:top w:val="dotted" w:color="auto" w:sz="4" w:space="0"/>
              <w:left w:val="dotted" w:color="auto" w:sz="4"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p>
        </w:tc>
        <w:tc>
          <w:tcPr>
            <w:tcW w:w="1062" w:type="dxa"/>
            <w:tcBorders>
              <w:top w:val="dotted" w:color="auto" w:sz="4" w:space="0"/>
              <w:left w:val="dotted" w:color="auto" w:sz="4" w:space="0"/>
              <w:bottom w:val="dotted" w:color="auto" w:sz="4" w:space="0"/>
              <w:right w:val="single" w:color="73C652" w:sz="8" w:space="0"/>
              <w:tl2br w:val="nil"/>
              <w:tr2bl w:val="nil"/>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342.67</w:t>
            </w:r>
          </w:p>
        </w:tc>
      </w:tr>
    </w:tbl>
    <w:p>
      <w:pPr>
        <w:numPr>
          <w:ilvl w:val="0"/>
          <w:numId w:val="0"/>
        </w:numPr>
        <w:spacing w:line="360" w:lineRule="auto"/>
        <w:ind w:firstLine="480"/>
        <w:jc w:val="center"/>
        <w:rPr>
          <w:rFonts w:hint="eastAsia" w:ascii="仿宋" w:hAnsi="仿宋" w:eastAsia="仿宋" w:cs="仿宋"/>
          <w:b/>
          <w:bCs w:val="0"/>
          <w:color w:val="000000"/>
          <w:sz w:val="24"/>
          <w:szCs w:val="24"/>
          <w:lang w:val="en-US" w:eastAsia="zh-CN"/>
        </w:rPr>
      </w:pPr>
      <w:r>
        <w:rPr>
          <w:rFonts w:hint="eastAsia" w:ascii="仿宋" w:hAnsi="仿宋" w:eastAsia="仿宋" w:cs="仿宋"/>
          <w:b/>
          <w:bCs w:val="0"/>
          <w:color w:val="000000"/>
          <w:sz w:val="24"/>
          <w:szCs w:val="24"/>
          <w:lang w:val="en-US" w:eastAsia="zh-CN"/>
        </w:rPr>
        <w:t xml:space="preserve">        </w:t>
      </w:r>
    </w:p>
    <w:p>
      <w:pPr>
        <w:numPr>
          <w:ilvl w:val="0"/>
          <w:numId w:val="0"/>
        </w:numPr>
        <w:spacing w:line="360" w:lineRule="auto"/>
        <w:ind w:firstLine="480"/>
        <w:jc w:val="center"/>
        <w:rPr>
          <w:rFonts w:hint="eastAsia" w:ascii="仿宋" w:hAnsi="仿宋" w:eastAsia="仿宋" w:cs="仿宋"/>
          <w:b/>
          <w:bCs w:val="0"/>
          <w:color w:val="000000"/>
          <w:sz w:val="24"/>
          <w:szCs w:val="24"/>
          <w:lang w:val="en-US" w:eastAsia="zh-CN"/>
        </w:rPr>
      </w:pPr>
      <w:r>
        <w:rPr>
          <w:rFonts w:hint="eastAsia" w:ascii="仿宋" w:hAnsi="仿宋" w:eastAsia="仿宋" w:cs="仿宋"/>
          <w:b/>
          <w:bCs w:val="0"/>
          <w:color w:val="000000"/>
          <w:sz w:val="24"/>
          <w:szCs w:val="24"/>
          <w:lang w:val="en-US" w:eastAsia="zh-CN"/>
        </w:rPr>
        <w:t xml:space="preserve"> 园地林地草地定级和基准地价评估服务收费（预算）汇总表     </w:t>
      </w:r>
      <w:r>
        <w:rPr>
          <w:rFonts w:hint="eastAsia" w:ascii="仿宋" w:hAnsi="仿宋" w:eastAsia="仿宋" w:cs="仿宋"/>
          <w:b w:val="0"/>
          <w:bCs/>
          <w:color w:val="000000"/>
          <w:sz w:val="21"/>
          <w:szCs w:val="21"/>
          <w:lang w:val="en-US" w:eastAsia="zh-CN"/>
        </w:rPr>
        <w:t>表7</w:t>
      </w:r>
    </w:p>
    <w:tbl>
      <w:tblPr>
        <w:tblStyle w:val="8"/>
        <w:tblW w:w="0" w:type="auto"/>
        <w:tblInd w:w="9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650"/>
        <w:gridCol w:w="1450"/>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06" w:type="dxa"/>
            <w:tcBorders>
              <w:top w:val="single" w:color="73C652" w:sz="4" w:space="0"/>
              <w:left w:val="single" w:color="73C652"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序号</w:t>
            </w:r>
          </w:p>
        </w:tc>
        <w:tc>
          <w:tcPr>
            <w:tcW w:w="2650" w:type="dxa"/>
            <w:tcBorders>
              <w:top w:val="single" w:color="73C652" w:sz="4" w:space="0"/>
              <w:left w:val="dotted" w:color="auto"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评估范围面积（平方公里）</w:t>
            </w:r>
          </w:p>
        </w:tc>
        <w:tc>
          <w:tcPr>
            <w:tcW w:w="1450" w:type="dxa"/>
            <w:tcBorders>
              <w:top w:val="single" w:color="73C652" w:sz="4" w:space="0"/>
              <w:left w:val="dotted" w:color="auto"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项目数量</w:t>
            </w:r>
          </w:p>
        </w:tc>
        <w:tc>
          <w:tcPr>
            <w:tcW w:w="2850" w:type="dxa"/>
            <w:tcBorders>
              <w:top w:val="single" w:color="73C652" w:sz="4" w:space="0"/>
              <w:left w:val="dotted" w:color="auto" w:sz="4" w:space="0"/>
              <w:bottom w:val="single" w:color="73C652" w:sz="4" w:space="0"/>
              <w:right w:val="single" w:color="73C652"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每个项目的平均收费（预算）费用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006" w:type="dxa"/>
            <w:tcBorders>
              <w:top w:val="single" w:color="73C652" w:sz="4" w:space="0"/>
              <w:left w:val="single" w:color="73C652"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1</w:t>
            </w:r>
          </w:p>
        </w:tc>
        <w:tc>
          <w:tcPr>
            <w:tcW w:w="2650" w:type="dxa"/>
            <w:tcBorders>
              <w:top w:val="single" w:color="73C652" w:sz="4" w:space="0"/>
              <w:left w:val="dotted" w:color="auto" w:sz="4" w:space="0"/>
              <w:bottom w:val="dotted" w:color="auto" w:sz="4" w:space="0"/>
              <w:right w:val="dotted" w:color="auto" w:sz="4" w:space="0"/>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＜1000</w:t>
            </w:r>
          </w:p>
        </w:tc>
        <w:tc>
          <w:tcPr>
            <w:tcW w:w="1450" w:type="dxa"/>
            <w:tcBorders>
              <w:top w:val="single" w:color="73C652" w:sz="4" w:space="0"/>
              <w:left w:val="dotted" w:color="auto"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10</w:t>
            </w:r>
          </w:p>
        </w:tc>
        <w:tc>
          <w:tcPr>
            <w:tcW w:w="2850" w:type="dxa"/>
            <w:tcBorders>
              <w:top w:val="single" w:color="73C652" w:sz="4" w:space="0"/>
              <w:left w:val="dotted" w:color="auto" w:sz="4" w:space="0"/>
              <w:bottom w:val="dotted" w:color="auto" w:sz="4" w:space="0"/>
              <w:right w:val="single" w:color="73C652" w:sz="4" w:space="0"/>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34.27万元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006" w:type="dxa"/>
            <w:tcBorders>
              <w:top w:val="dotted" w:color="auto" w:sz="4" w:space="0"/>
              <w:left w:val="single" w:color="73C652"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2</w:t>
            </w:r>
          </w:p>
        </w:tc>
        <w:tc>
          <w:tcPr>
            <w:tcW w:w="2650" w:type="dxa"/>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1000≤S＜2000</w:t>
            </w:r>
          </w:p>
        </w:tc>
        <w:tc>
          <w:tcPr>
            <w:tcW w:w="1450" w:type="dxa"/>
            <w:tcBorders>
              <w:top w:val="dotted" w:color="auto" w:sz="4" w:space="0"/>
              <w:left w:val="dotted" w:color="auto"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7</w:t>
            </w:r>
          </w:p>
        </w:tc>
        <w:tc>
          <w:tcPr>
            <w:tcW w:w="2850" w:type="dxa"/>
            <w:tcBorders>
              <w:top w:val="dotted" w:color="auto" w:sz="4" w:space="0"/>
              <w:left w:val="dotted" w:color="auto" w:sz="4" w:space="0"/>
              <w:bottom w:val="dotted" w:color="auto" w:sz="4" w:space="0"/>
              <w:right w:val="single" w:color="73C652"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41.74万元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006" w:type="dxa"/>
            <w:tcBorders>
              <w:top w:val="dotted" w:color="auto" w:sz="4" w:space="0"/>
              <w:left w:val="single" w:color="73C652"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3</w:t>
            </w:r>
          </w:p>
        </w:tc>
        <w:tc>
          <w:tcPr>
            <w:tcW w:w="2650" w:type="dxa"/>
            <w:tcBorders>
              <w:top w:val="dotted" w:color="auto" w:sz="4" w:space="0"/>
              <w:left w:val="dotted" w:color="auto" w:sz="4" w:space="0"/>
              <w:bottom w:val="dotted" w:color="auto" w:sz="4" w:space="0"/>
              <w:right w:val="dotted" w:color="auto" w:sz="4" w:space="0"/>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2000≤S＜3000</w:t>
            </w:r>
          </w:p>
        </w:tc>
        <w:tc>
          <w:tcPr>
            <w:tcW w:w="1450" w:type="dxa"/>
            <w:tcBorders>
              <w:top w:val="dotted" w:color="auto" w:sz="4" w:space="0"/>
              <w:left w:val="dotted" w:color="auto"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8</w:t>
            </w:r>
          </w:p>
        </w:tc>
        <w:tc>
          <w:tcPr>
            <w:tcW w:w="2850" w:type="dxa"/>
            <w:tcBorders>
              <w:top w:val="dotted" w:color="auto" w:sz="4" w:space="0"/>
              <w:left w:val="dotted" w:color="auto" w:sz="4" w:space="0"/>
              <w:bottom w:val="dotted" w:color="auto" w:sz="4" w:space="0"/>
              <w:right w:val="single" w:color="73C652" w:sz="4" w:space="0"/>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60.38万元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006" w:type="dxa"/>
            <w:tcBorders>
              <w:top w:val="dotted" w:color="auto" w:sz="4" w:space="0"/>
              <w:left w:val="single" w:color="73C652"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4</w:t>
            </w:r>
          </w:p>
        </w:tc>
        <w:tc>
          <w:tcPr>
            <w:tcW w:w="2650" w:type="dxa"/>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≥3000</w:t>
            </w:r>
          </w:p>
        </w:tc>
        <w:tc>
          <w:tcPr>
            <w:tcW w:w="1450" w:type="dxa"/>
            <w:tcBorders>
              <w:top w:val="dotted" w:color="auto" w:sz="4" w:space="0"/>
              <w:left w:val="dotted" w:color="auto"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16</w:t>
            </w:r>
          </w:p>
        </w:tc>
        <w:tc>
          <w:tcPr>
            <w:tcW w:w="2850" w:type="dxa"/>
            <w:tcBorders>
              <w:top w:val="dotted" w:color="auto" w:sz="4" w:space="0"/>
              <w:left w:val="dotted" w:color="auto" w:sz="4" w:space="0"/>
              <w:bottom w:val="dotted" w:color="auto" w:sz="4" w:space="0"/>
              <w:right w:val="single" w:color="73C652"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98.61万元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tcBorders>
              <w:top w:val="dotted" w:color="auto" w:sz="4" w:space="0"/>
              <w:left w:val="single" w:color="73C652"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合计/平均值</w:t>
            </w:r>
          </w:p>
        </w:tc>
        <w:tc>
          <w:tcPr>
            <w:tcW w:w="2650" w:type="dxa"/>
            <w:tcBorders>
              <w:top w:val="dotted" w:color="auto" w:sz="4" w:space="0"/>
              <w:left w:val="dotted" w:color="auto"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val="en-US" w:eastAsia="zh-CN"/>
              </w:rPr>
            </w:pPr>
          </w:p>
        </w:tc>
        <w:tc>
          <w:tcPr>
            <w:tcW w:w="1450" w:type="dxa"/>
            <w:tcBorders>
              <w:top w:val="dotted" w:color="auto" w:sz="4" w:space="0"/>
              <w:left w:val="dotted" w:color="auto"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41</w:t>
            </w:r>
          </w:p>
        </w:tc>
        <w:tc>
          <w:tcPr>
            <w:tcW w:w="2850" w:type="dxa"/>
            <w:tcBorders>
              <w:top w:val="dotted" w:color="auto" w:sz="4" w:space="0"/>
              <w:left w:val="dotted" w:color="auto" w:sz="4" w:space="0"/>
              <w:bottom w:val="single" w:color="73C652" w:sz="4" w:space="0"/>
              <w:right w:val="single" w:color="73C652" w:sz="4" w:space="0"/>
            </w:tcBorders>
            <w:shd w:val="clear" w:color="auto" w:fill="97D57F"/>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65.75万元</w:t>
            </w:r>
          </w:p>
        </w:tc>
      </w:tr>
    </w:tbl>
    <w:p>
      <w:pPr>
        <w:spacing w:line="360" w:lineRule="auto"/>
        <w:ind w:firstLine="562" w:firstLineChars="200"/>
        <w:rPr>
          <w:rFonts w:hint="eastAsia" w:ascii="仿宋" w:hAnsi="仿宋" w:eastAsia="仿宋" w:cs="楷体_GB2312"/>
          <w:b/>
          <w:bCs w:val="0"/>
          <w:color w:val="000000"/>
          <w:sz w:val="28"/>
          <w:szCs w:val="28"/>
          <w:lang w:eastAsia="zh-CN"/>
        </w:rPr>
      </w:pPr>
    </w:p>
    <w:p>
      <w:pPr>
        <w:numPr>
          <w:ilvl w:val="0"/>
          <w:numId w:val="0"/>
        </w:numPr>
        <w:spacing w:line="360" w:lineRule="auto"/>
        <w:ind w:firstLine="562" w:firstLineChars="200"/>
        <w:jc w:val="left"/>
        <w:rPr>
          <w:rFonts w:hint="eastAsia" w:ascii="仿宋" w:hAnsi="仿宋" w:eastAsia="仿宋" w:cs="楷体"/>
          <w:b/>
          <w:bCs w:val="0"/>
          <w:sz w:val="28"/>
          <w:szCs w:val="28"/>
          <w:lang w:eastAsia="zh-CN"/>
        </w:rPr>
      </w:pPr>
      <w:r>
        <w:rPr>
          <w:rFonts w:hint="eastAsia" w:ascii="仿宋" w:hAnsi="仿宋" w:eastAsia="仿宋" w:cs="楷体"/>
          <w:b/>
          <w:bCs w:val="0"/>
          <w:sz w:val="28"/>
          <w:szCs w:val="28"/>
          <w:lang w:val="en-US" w:eastAsia="zh-CN"/>
        </w:rPr>
        <w:t>九、江西省园地林地草地定级和基准地价评估服务</w:t>
      </w:r>
      <w:r>
        <w:rPr>
          <w:rFonts w:hint="eastAsia" w:ascii="仿宋" w:hAnsi="仿宋" w:eastAsia="仿宋" w:cs="楷体"/>
          <w:b/>
          <w:bCs w:val="0"/>
          <w:sz w:val="28"/>
          <w:szCs w:val="28"/>
          <w:lang w:eastAsia="zh-CN"/>
        </w:rPr>
        <w:t>成本测算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r>
        <w:rPr>
          <w:rFonts w:hint="eastAsia" w:ascii="仿宋" w:hAnsi="仿宋" w:eastAsia="仿宋" w:cs="楷体"/>
          <w:b/>
          <w:bCs w:val="0"/>
          <w:sz w:val="24"/>
          <w:szCs w:val="24"/>
          <w:lang w:val="en-US" w:eastAsia="zh-CN"/>
        </w:rPr>
        <w:t>测算思路</w:t>
      </w:r>
      <w:r>
        <w:rPr>
          <w:rFonts w:hint="eastAsia" w:ascii="仿宋" w:hAnsi="仿宋" w:eastAsia="仿宋" w:cs="楷体"/>
          <w:bCs/>
          <w:sz w:val="24"/>
          <w:szCs w:val="24"/>
          <w:lang w:val="en-US" w:eastAsia="zh-CN"/>
        </w:rPr>
        <w:t>：按照《自然资源分等定级通则》（TD/T 1060-2021）、《自然资源价格评估通则》（TD/T1061-2021）、《林地分等定级技术规范》（T/CREVA 3101-2021）、《林地估价技术规范》（T/CREVA 1101-2021）、《农用地定级规程》（GB/T28405-2012)、《农用地估价规程》（GB/T28406-2012）规定的林地定级和基准地价评估程序和内容，以一个评估面积为1500多平方公里（涉及乡镇数量为15个）的项目为例，保质保量达到通则、规范、规程要求条件下，测算出一个评估面积为1500多平方公里（涉及乡镇数量为15个）的县域林地定级和基准地价评估服务成本。因园地、草地定级和基准地价评估服务工作与林地定级和基准地价评估服务工作具有一定的相似性，根据江西省的区域特征并结合各地类定级及基准地价评估的难度系数与地类面积大小确定园地、草地定级和基准地价评估服务工作成本为林地定级和基准地价评估服务工作成本一定的系数比例，最后综合确定园地林地草地定级及基准地价评估综合服务成本。</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
          <w:bCs w:val="0"/>
          <w:sz w:val="24"/>
          <w:szCs w:val="24"/>
          <w:lang w:val="en-US" w:eastAsia="zh-CN"/>
        </w:rPr>
      </w:pPr>
      <w:r>
        <w:rPr>
          <w:rFonts w:hint="eastAsia" w:ascii="仿宋" w:hAnsi="仿宋" w:eastAsia="仿宋" w:cs="楷体"/>
          <w:b/>
          <w:bCs w:val="0"/>
          <w:sz w:val="24"/>
          <w:szCs w:val="24"/>
          <w:lang w:val="en-US" w:eastAsia="zh-CN"/>
        </w:rPr>
        <w:t>（一）机构人员成本调研分析结果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default" w:ascii="仿宋" w:hAnsi="仿宋" w:eastAsia="仿宋" w:cs="楷体"/>
          <w:bCs/>
          <w:sz w:val="24"/>
          <w:szCs w:val="24"/>
          <w:lang w:val="en-US" w:eastAsia="zh-CN"/>
        </w:rPr>
      </w:pPr>
      <w:r>
        <w:rPr>
          <w:rFonts w:hint="eastAsia" w:ascii="仿宋" w:hAnsi="仿宋" w:eastAsia="仿宋" w:cs="楷体"/>
          <w:bCs/>
          <w:sz w:val="24"/>
          <w:szCs w:val="24"/>
          <w:lang w:val="en-US" w:eastAsia="zh-CN"/>
        </w:rPr>
        <w:t>2021年8月至9月江西省</w:t>
      </w:r>
      <w:r>
        <w:rPr>
          <w:rFonts w:hint="eastAsia" w:ascii="仿宋" w:hAnsi="仿宋" w:eastAsia="仿宋" w:cs="仿宋"/>
          <w:bCs/>
          <w:color w:val="000000"/>
          <w:sz w:val="24"/>
          <w:szCs w:val="24"/>
        </w:rPr>
        <w:t>土地评估服务收费成本测算工作小组</w:t>
      </w:r>
      <w:r>
        <w:rPr>
          <w:rFonts w:hint="eastAsia" w:ascii="仿宋" w:hAnsi="仿宋" w:eastAsia="仿宋" w:cs="仿宋"/>
          <w:bCs/>
          <w:color w:val="000000"/>
          <w:sz w:val="24"/>
          <w:szCs w:val="24"/>
          <w:lang w:val="en-US" w:eastAsia="zh-CN"/>
        </w:rPr>
        <w:t>对全省的102家评估机构进行了问卷调查，通过汇总分析37份有效问卷得出江西省评估机构的人员工资成本如下：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 xml:space="preserve">1、江西省土地评估机构估价助理的年薪主要集中在 4-8 万/年，占比 72.72%；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 xml:space="preserve">2、江西省土地评估机构土地估价师的年薪主要集中在 8-12 万/年，占比 67.57%；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3、江西省土地评估机构</w:t>
      </w:r>
      <w:r>
        <w:rPr>
          <w:rFonts w:hint="eastAsia" w:ascii="仿宋" w:hAnsi="仿宋" w:eastAsia="仿宋" w:cs="楷体"/>
          <w:b/>
          <w:bCs w:val="0"/>
          <w:sz w:val="24"/>
          <w:szCs w:val="24"/>
          <w:lang w:val="en-US" w:eastAsia="zh-CN"/>
        </w:rPr>
        <w:t>技术总监（具有至少两年基准地价评估工作经验土地估价师）</w:t>
      </w:r>
      <w:r>
        <w:rPr>
          <w:rFonts w:hint="eastAsia" w:ascii="仿宋" w:hAnsi="仿宋" w:eastAsia="仿宋" w:cs="楷体"/>
          <w:bCs/>
          <w:sz w:val="24"/>
          <w:szCs w:val="24"/>
          <w:lang w:val="en-US" w:eastAsia="zh-CN"/>
        </w:rPr>
        <w:t>的年薪主要集中在 12-16 万/年，占比 62.18%。</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
          <w:bCs w:val="0"/>
          <w:sz w:val="24"/>
          <w:szCs w:val="24"/>
          <w:u w:val="single"/>
          <w:lang w:val="en-US" w:eastAsia="zh-CN"/>
        </w:rPr>
      </w:pPr>
      <w:r>
        <w:rPr>
          <w:rFonts w:hint="eastAsia" w:ascii="仿宋" w:hAnsi="仿宋" w:eastAsia="仿宋" w:cs="楷体"/>
          <w:bCs/>
          <w:sz w:val="24"/>
          <w:szCs w:val="24"/>
          <w:lang w:val="en-US" w:eastAsia="zh-CN"/>
        </w:rPr>
        <w:t>根据江西省统计局公布数据显示，2022年江西省城镇私营单位平均工资比上年增长1.9%，故本次林地定级和基准地价评估服务人员成本确定</w:t>
      </w:r>
      <w:r>
        <w:rPr>
          <w:rFonts w:hint="eastAsia" w:ascii="仿宋" w:hAnsi="仿宋" w:eastAsia="仿宋" w:cs="楷体"/>
          <w:b/>
          <w:bCs w:val="0"/>
          <w:sz w:val="24"/>
          <w:szCs w:val="24"/>
          <w:u w:val="single"/>
          <w:lang w:val="en-US" w:eastAsia="zh-CN"/>
        </w:rPr>
        <w:t>估价助理年薪为6万元/年、土地估价师年薪为10万元/年、技术总监年薪为15万元/年。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default" w:ascii="仿宋" w:hAnsi="仿宋" w:eastAsia="仿宋" w:cs="楷体"/>
          <w:b/>
          <w:bCs w:val="0"/>
          <w:sz w:val="24"/>
          <w:szCs w:val="24"/>
          <w:u w:val="single"/>
          <w:lang w:val="en-US" w:eastAsia="zh-CN"/>
        </w:rPr>
      </w:pPr>
      <w:r>
        <w:rPr>
          <w:rFonts w:hint="eastAsia" w:ascii="仿宋" w:hAnsi="仿宋" w:eastAsia="仿宋" w:cs="楷体"/>
          <w:bCs/>
          <w:sz w:val="24"/>
          <w:szCs w:val="24"/>
          <w:lang w:val="en-US" w:eastAsia="zh-CN"/>
        </w:rPr>
        <w:t>完成一个评估面积为1500多平方公里（涉及乡镇数量为15个）的县域林地定级和基准地价评估需要1名技术总监、2名土地估价师及1名估价助理参与。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default" w:ascii="仿宋" w:hAnsi="仿宋" w:eastAsia="仿宋" w:cs="楷体"/>
          <w:b/>
          <w:bCs w:val="0"/>
          <w:sz w:val="24"/>
          <w:szCs w:val="24"/>
          <w:lang w:val="en-US" w:eastAsia="zh-CN"/>
        </w:rPr>
      </w:pPr>
      <w:r>
        <w:rPr>
          <w:rFonts w:hint="eastAsia" w:ascii="仿宋" w:hAnsi="仿宋" w:eastAsia="仿宋" w:cs="楷体"/>
          <w:b/>
          <w:bCs w:val="0"/>
          <w:sz w:val="24"/>
          <w:szCs w:val="24"/>
          <w:lang w:val="en-US" w:eastAsia="zh-CN"/>
        </w:rPr>
        <w:t>（二）江西省林地定级和基准地价评估服务成本测算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default" w:ascii="仿宋" w:hAnsi="仿宋" w:eastAsia="仿宋" w:cs="楷体"/>
          <w:bCs/>
          <w:sz w:val="24"/>
          <w:szCs w:val="24"/>
          <w:lang w:val="en-US" w:eastAsia="zh-CN"/>
        </w:rPr>
      </w:pPr>
      <w:r>
        <w:rPr>
          <w:rFonts w:hint="eastAsia" w:ascii="仿宋" w:hAnsi="仿宋" w:eastAsia="仿宋" w:cs="楷体"/>
          <w:bCs/>
          <w:sz w:val="24"/>
          <w:szCs w:val="24"/>
          <w:lang w:val="en-US" w:eastAsia="zh-CN"/>
        </w:rPr>
        <w:t>1、资料收集与整理成本测算</w:t>
      </w:r>
    </w:p>
    <w:p>
      <w:pPr>
        <w:numPr>
          <w:ilvl w:val="0"/>
          <w:numId w:val="0"/>
        </w:numPr>
        <w:spacing w:line="360" w:lineRule="auto"/>
        <w:ind w:firstLine="480" w:firstLineChars="200"/>
        <w:jc w:val="left"/>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根据《自然资源分等定级通则》（TD/T 1060-2021）、《自然资源价格评估通则》（TD/T1061-2021）、《林地分等定级技术规范》（T/CREVA 3101-2021）、《林地估价技术规范》（T/CREVA 1101-2021）的规定，资料收集与整理的主要工作内容有：</w:t>
      </w:r>
    </w:p>
    <w:p>
      <w:pPr>
        <w:numPr>
          <w:ilvl w:val="0"/>
          <w:numId w:val="0"/>
        </w:numPr>
        <w:spacing w:line="360" w:lineRule="auto"/>
        <w:ind w:firstLine="480" w:firstLineChars="200"/>
        <w:jc w:val="left"/>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1）基本资料;包括最新国土(自然资源)调查资料、森林资源一类调查成果资料、森林资源二类调查成果资料、林草生态综合监测评价工作成果资料、林地年度变更调查成果资料、全国土壤普查成果资料；已完成林地质量分等工作的,收集林地质量分等基础资料汇编、中间成果资料和最终成果资料；</w:t>
      </w:r>
    </w:p>
    <w:p>
      <w:pPr>
        <w:numPr>
          <w:ilvl w:val="0"/>
          <w:numId w:val="0"/>
        </w:numPr>
        <w:spacing w:line="360" w:lineRule="auto"/>
        <w:ind w:firstLine="480" w:firstLineChars="200"/>
        <w:jc w:val="left"/>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（2）图件资料:包括地形图、国土空间规划图、林地专项规划图、最新行政区划图、林地质量分等单元等别图以及其他相关图件；</w:t>
      </w:r>
    </w:p>
    <w:p>
      <w:pPr>
        <w:numPr>
          <w:ilvl w:val="0"/>
          <w:numId w:val="0"/>
        </w:numPr>
        <w:spacing w:line="360" w:lineRule="auto"/>
        <w:ind w:firstLine="480" w:firstLineChars="200"/>
        <w:jc w:val="left"/>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3）要素资料;包括地形资料(坡度、坡向、坡位等);土壤资料(土层厚度等级、腐殖质厚度等);生态资料(森林群落结构、自然度、郁闭度、森林蓄积量等):社会经济资料(经营水平、人为干扰度等);区位条件资料(集材距离、运输距离、可及度等)；</w:t>
      </w:r>
    </w:p>
    <w:p>
      <w:pPr>
        <w:numPr>
          <w:ilvl w:val="0"/>
          <w:numId w:val="0"/>
        </w:numPr>
        <w:spacing w:line="360" w:lineRule="auto"/>
        <w:ind w:firstLine="480" w:firstLineChars="200"/>
        <w:jc w:val="left"/>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（4）市场资料：以承包、转让、出租(转包)、作价出资(入股)等各种方式流转的林地交易资料;林地的投入、产出等资料;影响林地价格的自然因素、社会经济因素、个别因素和特殊因素等。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rPr>
      </w:pPr>
      <w:r>
        <w:rPr>
          <w:rFonts w:hint="eastAsia" w:ascii="仿宋" w:hAnsi="仿宋" w:eastAsia="仿宋" w:cs="楷体"/>
          <w:bCs/>
          <w:sz w:val="24"/>
          <w:szCs w:val="24"/>
          <w:lang w:eastAsia="zh-CN"/>
        </w:rPr>
        <w:t>此项工作需1名技术总监及2名土地估价师、1名估价师助理前往项目现场，与自然资源局、林业局、农业农村局等行政主管部门取得联系并沟通进行调取与整理，所需的工作时间约为</w:t>
      </w:r>
      <w:r>
        <w:rPr>
          <w:rFonts w:hint="eastAsia" w:ascii="仿宋" w:hAnsi="仿宋" w:eastAsia="仿宋" w:cs="楷体"/>
          <w:bCs/>
          <w:sz w:val="24"/>
          <w:szCs w:val="24"/>
          <w:lang w:val="en-US" w:eastAsia="zh-CN"/>
        </w:rPr>
        <w:t>10个工作日。</w:t>
      </w:r>
      <w:r>
        <w:rPr>
          <w:rFonts w:hint="eastAsia" w:ascii="仿宋" w:hAnsi="仿宋" w:eastAsia="仿宋" w:cs="楷体"/>
          <w:bCs/>
          <w:sz w:val="24"/>
          <w:szCs w:val="24"/>
        </w:rPr>
        <w:t>具体成本详见下表：</w:t>
      </w:r>
    </w:p>
    <w:p>
      <w:pPr>
        <w:keepNext w:val="0"/>
        <w:keepLines w:val="0"/>
        <w:pageBreakBefore w:val="0"/>
        <w:widowControl w:val="0"/>
        <w:kinsoku/>
        <w:wordWrap/>
        <w:overflowPunct/>
        <w:topLinePunct w:val="0"/>
        <w:autoSpaceDE/>
        <w:autoSpaceDN/>
        <w:bidi w:val="0"/>
        <w:adjustRightInd/>
        <w:snapToGrid/>
        <w:spacing w:line="240" w:lineRule="auto"/>
        <w:ind w:firstLine="641"/>
        <w:jc w:val="center"/>
        <w:textAlignment w:val="auto"/>
        <w:rPr>
          <w:rFonts w:hint="eastAsia" w:ascii="仿宋" w:hAnsi="仿宋" w:eastAsia="仿宋" w:cs="楷体"/>
          <w:b/>
          <w:sz w:val="24"/>
          <w:lang w:eastAsia="zh-CN"/>
        </w:rPr>
      </w:pPr>
      <w:r>
        <w:rPr>
          <w:rFonts w:hint="eastAsia" w:ascii="仿宋" w:hAnsi="仿宋" w:eastAsia="仿宋" w:cs="楷体"/>
          <w:b/>
          <w:sz w:val="24"/>
        </w:rPr>
        <w:t xml:space="preserve"> </w:t>
      </w:r>
      <w:r>
        <w:rPr>
          <w:rFonts w:ascii="仿宋" w:hAnsi="仿宋" w:eastAsia="仿宋" w:cs="楷体"/>
          <w:b/>
          <w:sz w:val="24"/>
        </w:rPr>
        <w:t xml:space="preserve">             </w:t>
      </w:r>
      <w:r>
        <w:rPr>
          <w:rFonts w:hint="eastAsia" w:ascii="仿宋" w:hAnsi="仿宋" w:eastAsia="仿宋" w:cs="楷体"/>
          <w:b/>
          <w:sz w:val="24"/>
        </w:rPr>
        <w:t xml:space="preserve"> </w:t>
      </w:r>
      <w:r>
        <w:rPr>
          <w:rFonts w:hint="eastAsia" w:ascii="仿宋" w:hAnsi="仿宋" w:eastAsia="仿宋" w:cs="楷体"/>
          <w:b/>
          <w:sz w:val="24"/>
          <w:lang w:val="en-US" w:eastAsia="zh-CN"/>
        </w:rPr>
        <w:t>资料收集与整理</w:t>
      </w:r>
      <w:r>
        <w:rPr>
          <w:rFonts w:hint="eastAsia" w:ascii="仿宋" w:hAnsi="仿宋" w:eastAsia="仿宋" w:cs="楷体"/>
          <w:b/>
          <w:sz w:val="24"/>
        </w:rPr>
        <w:t>成本</w:t>
      </w:r>
      <w:r>
        <w:rPr>
          <w:rFonts w:hint="eastAsia" w:ascii="仿宋" w:hAnsi="仿宋" w:eastAsia="仿宋" w:cs="楷体"/>
          <w:b/>
          <w:sz w:val="24"/>
          <w:lang w:eastAsia="zh-CN"/>
        </w:rPr>
        <w:t>测算表</w:t>
      </w:r>
      <w:r>
        <w:rPr>
          <w:rFonts w:hint="eastAsia" w:ascii="仿宋" w:hAnsi="仿宋" w:eastAsia="仿宋" w:cs="楷体"/>
          <w:b/>
          <w:sz w:val="24"/>
        </w:rPr>
        <w:t xml:space="preserve"> </w:t>
      </w:r>
      <w:r>
        <w:rPr>
          <w:rFonts w:ascii="仿宋" w:hAnsi="仿宋" w:eastAsia="仿宋" w:cs="楷体"/>
          <w:b/>
          <w:sz w:val="24"/>
        </w:rPr>
        <w:t xml:space="preserve">               </w:t>
      </w:r>
      <w:r>
        <w:rPr>
          <w:rFonts w:ascii="仿宋" w:hAnsi="仿宋" w:eastAsia="仿宋" w:cs="楷体"/>
          <w:sz w:val="24"/>
        </w:rPr>
        <w:t xml:space="preserve"> </w:t>
      </w:r>
      <w:r>
        <w:rPr>
          <w:rFonts w:hint="eastAsia" w:ascii="仿宋" w:hAnsi="仿宋" w:eastAsia="仿宋" w:cs="仿宋"/>
          <w:b w:val="0"/>
          <w:bCs/>
          <w:color w:val="000000"/>
          <w:sz w:val="21"/>
          <w:szCs w:val="21"/>
          <w:lang w:val="en-US" w:eastAsia="zh-CN"/>
        </w:rPr>
        <w:t>表8</w:t>
      </w:r>
    </w:p>
    <w:tbl>
      <w:tblPr>
        <w:tblStyle w:val="8"/>
        <w:tblpPr w:leftFromText="180" w:rightFromText="180" w:vertAnchor="text" w:horzAnchor="page" w:tblpX="2532" w:tblpY="153"/>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87"/>
        <w:gridCol w:w="1243"/>
        <w:gridCol w:w="1336"/>
        <w:gridCol w:w="2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787" w:type="dxa"/>
            <w:tcBorders>
              <w:top w:val="single" w:color="73C652" w:sz="8" w:space="0"/>
              <w:left w:val="single" w:color="73C652"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人员组成</w:t>
            </w:r>
          </w:p>
        </w:tc>
        <w:tc>
          <w:tcPr>
            <w:tcW w:w="1243"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工作日（天）</w:t>
            </w:r>
          </w:p>
        </w:tc>
        <w:tc>
          <w:tcPr>
            <w:tcW w:w="1336"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年薪/成本</w:t>
            </w:r>
          </w:p>
        </w:tc>
        <w:tc>
          <w:tcPr>
            <w:tcW w:w="2276" w:type="dxa"/>
            <w:tcBorders>
              <w:top w:val="single" w:color="73C652" w:sz="8" w:space="0"/>
              <w:left w:val="dotted" w:color="auto" w:sz="8" w:space="0"/>
              <w:bottom w:val="single" w:color="73C652" w:sz="1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成本金额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787" w:type="dxa"/>
            <w:tcBorders>
              <w:top w:val="single" w:color="73C652" w:sz="1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1名技术总监人工成本</w:t>
            </w:r>
          </w:p>
        </w:tc>
        <w:tc>
          <w:tcPr>
            <w:tcW w:w="1243" w:type="dxa"/>
            <w:tcBorders>
              <w:top w:val="single" w:color="73C652" w:sz="1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w:t>
            </w:r>
          </w:p>
        </w:tc>
        <w:tc>
          <w:tcPr>
            <w:tcW w:w="1336" w:type="dxa"/>
            <w:tcBorders>
              <w:top w:val="single" w:color="73C652" w:sz="1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15万元</w:t>
            </w:r>
          </w:p>
        </w:tc>
        <w:tc>
          <w:tcPr>
            <w:tcW w:w="2276" w:type="dxa"/>
            <w:tcBorders>
              <w:top w:val="single" w:color="73C652" w:sz="1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6,000元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2787"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2名土地估价师人工成本</w:t>
            </w:r>
          </w:p>
        </w:tc>
        <w:tc>
          <w:tcPr>
            <w:tcW w:w="1243" w:type="dxa"/>
            <w:tcBorders>
              <w:top w:val="dotted" w:color="auto" w:sz="8" w:space="0"/>
              <w:left w:val="dotted" w:color="auto" w:sz="8" w:space="0"/>
              <w:bottom w:val="dotted" w:color="auto" w:sz="8" w:space="0"/>
              <w:right w:val="dotted" w:color="auto"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10万元</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8,000元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787"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1名估价师助理人工成本</w:t>
            </w:r>
          </w:p>
        </w:tc>
        <w:tc>
          <w:tcPr>
            <w:tcW w:w="1243" w:type="dxa"/>
            <w:tcBorders>
              <w:top w:val="dotted" w:color="auto" w:sz="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6万元</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2,400元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787"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交通费、住宿费、餐费</w:t>
            </w:r>
          </w:p>
        </w:tc>
        <w:tc>
          <w:tcPr>
            <w:tcW w:w="1243" w:type="dxa"/>
            <w:tcBorders>
              <w:top w:val="dotted" w:color="auto" w:sz="8" w:space="0"/>
              <w:left w:val="dotted" w:color="auto" w:sz="8" w:space="0"/>
              <w:bottom w:val="dotted" w:color="auto" w:sz="8" w:space="0"/>
              <w:right w:val="dotted" w:color="auto"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350元每人/天</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14,000元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787" w:type="dxa"/>
            <w:tcBorders>
              <w:top w:val="dotted" w:color="auto" w:sz="8" w:space="0"/>
              <w:left w:val="single" w:color="73C652"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合计</w:t>
            </w:r>
          </w:p>
        </w:tc>
        <w:tc>
          <w:tcPr>
            <w:tcW w:w="1243"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1336"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2276" w:type="dxa"/>
            <w:tcBorders>
              <w:top w:val="dotted" w:color="auto" w:sz="8" w:space="0"/>
              <w:left w:val="dotted" w:color="auto" w:sz="8" w:space="0"/>
              <w:bottom w:val="single" w:color="73C652" w:sz="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30,400元</w:t>
            </w:r>
          </w:p>
        </w:tc>
      </w:tr>
    </w:tbl>
    <w:p>
      <w:pPr>
        <w:numPr>
          <w:ilvl w:val="0"/>
          <w:numId w:val="0"/>
        </w:numPr>
        <w:spacing w:line="360" w:lineRule="auto"/>
        <w:ind w:firstLine="480" w:firstLineChars="200"/>
        <w:jc w:val="left"/>
        <w:rPr>
          <w:rFonts w:hint="eastAsia" w:ascii="仿宋" w:hAnsi="仿宋" w:eastAsia="仿宋" w:cs="楷体"/>
          <w:bCs/>
          <w:sz w:val="24"/>
          <w:szCs w:val="24"/>
          <w:lang w:val="en-US" w:eastAsia="zh-CN"/>
        </w:rPr>
      </w:pPr>
    </w:p>
    <w:p>
      <w:pPr>
        <w:numPr>
          <w:ilvl w:val="0"/>
          <w:numId w:val="0"/>
        </w:numPr>
        <w:spacing w:line="360" w:lineRule="auto"/>
        <w:ind w:firstLine="480" w:firstLineChars="200"/>
        <w:jc w:val="left"/>
        <w:rPr>
          <w:rFonts w:hint="default" w:ascii="仿宋" w:hAnsi="仿宋" w:eastAsia="仿宋" w:cs="楷体"/>
          <w:bCs/>
          <w:sz w:val="24"/>
          <w:szCs w:val="24"/>
          <w:lang w:val="en-US" w:eastAsia="zh-CN"/>
        </w:rPr>
      </w:pPr>
    </w:p>
    <w:p>
      <w:pPr>
        <w:numPr>
          <w:ilvl w:val="0"/>
          <w:numId w:val="0"/>
        </w:numPr>
        <w:spacing w:line="360" w:lineRule="auto"/>
        <w:ind w:firstLine="480" w:firstLineChars="200"/>
        <w:jc w:val="left"/>
        <w:rPr>
          <w:rFonts w:hint="default"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default"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仿宋" w:hAnsi="仿宋" w:eastAsia="仿宋" w:cs="楷体"/>
          <w:bCs/>
          <w:sz w:val="24"/>
          <w:szCs w:val="24"/>
          <w:lang w:val="en-US" w:eastAsia="zh-CN"/>
        </w:rPr>
      </w:pPr>
      <w:r>
        <w:rPr>
          <w:rFonts w:hint="eastAsia" w:ascii="仿宋" w:hAnsi="仿宋" w:eastAsia="仿宋" w:cs="楷体"/>
          <w:bCs/>
          <w:sz w:val="24"/>
          <w:szCs w:val="24"/>
          <w:lang w:val="en-US" w:eastAsia="zh-CN"/>
        </w:rPr>
        <w:t>2、外业调查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仿宋" w:hAnsi="仿宋" w:eastAsia="仿宋" w:cs="楷体"/>
          <w:bCs/>
          <w:sz w:val="24"/>
          <w:szCs w:val="24"/>
          <w:lang w:val="en-US" w:eastAsia="zh-CN"/>
        </w:rPr>
      </w:pPr>
      <w:r>
        <w:rPr>
          <w:rFonts w:hint="eastAsia" w:ascii="仿宋" w:hAnsi="仿宋" w:eastAsia="仿宋" w:cs="楷体"/>
          <w:bCs/>
          <w:sz w:val="24"/>
          <w:szCs w:val="24"/>
          <w:lang w:val="en-US" w:eastAsia="zh-CN"/>
        </w:rPr>
        <w:t>根据《自然资源分等定级通则》（TD/T 1060-2021）、《自然资源价格评估通则》（TD/T1061-2021）、《林地分等定级技术规范》（T/CREVA 3101-2021）、《林地估价技术规范》（T/CREVA 1101-2021）的规定，外业调查主要工作内容有：（1）调查范围与对象：在林地定级工作范围内,根据工作需要可开展实地调查,完善数据。调查对象为林地定级因素；（2）调查方案设计：补充调查的路线要穿越所有需要补充资料的定级区域。在选定的路线上,依据实际情况进行调查样点设置；在因素特征变异明显的地带可加密布点。调查中,可实地观测或会同当地专业技术人员对林地定级单元的土地质量状况进行定性描述,并按质量排序,作为定级检验的依据；（3）样点资料现场调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rPr>
      </w:pPr>
      <w:r>
        <w:rPr>
          <w:rFonts w:hint="eastAsia" w:ascii="仿宋" w:hAnsi="仿宋" w:eastAsia="仿宋" w:cs="楷体"/>
          <w:bCs/>
          <w:sz w:val="24"/>
          <w:szCs w:val="24"/>
          <w:lang w:eastAsia="zh-CN"/>
        </w:rPr>
        <w:t>此项工作需1名技术总监及2名土地估价师、1名估价师助理前往各个乡镇及现场进行调研、访谈，所需的工作时间约为</w:t>
      </w:r>
      <w:r>
        <w:rPr>
          <w:rFonts w:hint="eastAsia" w:ascii="仿宋" w:hAnsi="仿宋" w:eastAsia="仿宋" w:cs="楷体"/>
          <w:bCs/>
          <w:sz w:val="24"/>
          <w:szCs w:val="24"/>
          <w:lang w:val="en-US" w:eastAsia="zh-CN"/>
        </w:rPr>
        <w:t>15个工作日。</w:t>
      </w:r>
      <w:r>
        <w:rPr>
          <w:rFonts w:hint="eastAsia" w:ascii="仿宋" w:hAnsi="仿宋" w:eastAsia="仿宋" w:cs="楷体"/>
          <w:bCs/>
          <w:sz w:val="24"/>
          <w:szCs w:val="24"/>
        </w:rPr>
        <w:t>具体成本详见下表：</w:t>
      </w:r>
    </w:p>
    <w:p>
      <w:pPr>
        <w:keepNext w:val="0"/>
        <w:keepLines w:val="0"/>
        <w:pageBreakBefore w:val="0"/>
        <w:widowControl w:val="0"/>
        <w:kinsoku/>
        <w:wordWrap/>
        <w:overflowPunct/>
        <w:topLinePunct w:val="0"/>
        <w:autoSpaceDE/>
        <w:autoSpaceDN/>
        <w:bidi w:val="0"/>
        <w:adjustRightInd/>
        <w:snapToGrid/>
        <w:spacing w:line="240" w:lineRule="auto"/>
        <w:ind w:firstLine="641"/>
        <w:jc w:val="center"/>
        <w:textAlignment w:val="auto"/>
        <w:rPr>
          <w:rFonts w:hint="eastAsia" w:ascii="仿宋" w:hAnsi="仿宋" w:eastAsia="仿宋" w:cs="楷体"/>
          <w:b/>
          <w:sz w:val="24"/>
          <w:lang w:eastAsia="zh-CN"/>
        </w:rPr>
      </w:pPr>
      <w:r>
        <w:rPr>
          <w:rFonts w:hint="eastAsia" w:ascii="仿宋" w:hAnsi="仿宋" w:eastAsia="仿宋" w:cs="楷体"/>
          <w:b/>
          <w:sz w:val="24"/>
        </w:rPr>
        <w:t xml:space="preserve"> </w:t>
      </w:r>
      <w:r>
        <w:rPr>
          <w:rFonts w:ascii="仿宋" w:hAnsi="仿宋" w:eastAsia="仿宋" w:cs="楷体"/>
          <w:b/>
          <w:sz w:val="24"/>
        </w:rPr>
        <w:t xml:space="preserve">            </w:t>
      </w:r>
      <w:r>
        <w:rPr>
          <w:rFonts w:hint="eastAsia" w:ascii="仿宋" w:hAnsi="仿宋" w:eastAsia="仿宋" w:cs="楷体"/>
          <w:b/>
          <w:sz w:val="24"/>
          <w:lang w:eastAsia="zh-CN"/>
        </w:rPr>
        <w:t xml:space="preserve">  </w:t>
      </w:r>
      <w:r>
        <w:rPr>
          <w:rFonts w:hint="eastAsia" w:ascii="仿宋" w:hAnsi="仿宋" w:eastAsia="仿宋" w:cs="楷体"/>
          <w:b/>
          <w:sz w:val="24"/>
          <w:lang w:val="en-US" w:eastAsia="zh-CN"/>
        </w:rPr>
        <w:t>外业调查</w:t>
      </w:r>
      <w:r>
        <w:rPr>
          <w:rFonts w:hint="eastAsia" w:ascii="仿宋" w:hAnsi="仿宋" w:eastAsia="仿宋" w:cs="楷体"/>
          <w:b/>
          <w:sz w:val="24"/>
          <w:lang w:eastAsia="zh-CN"/>
        </w:rPr>
        <w:t>成本测算表</w:t>
      </w:r>
      <w:r>
        <w:rPr>
          <w:rFonts w:hint="eastAsia" w:ascii="仿宋" w:hAnsi="仿宋" w:eastAsia="仿宋" w:cs="楷体"/>
          <w:b/>
          <w:sz w:val="24"/>
        </w:rPr>
        <w:t xml:space="preserve"> </w:t>
      </w:r>
      <w:r>
        <w:rPr>
          <w:rFonts w:ascii="仿宋" w:hAnsi="仿宋" w:eastAsia="仿宋" w:cs="楷体"/>
          <w:b/>
          <w:sz w:val="24"/>
        </w:rPr>
        <w:t xml:space="preserve">               </w:t>
      </w:r>
      <w:r>
        <w:rPr>
          <w:rFonts w:ascii="仿宋" w:hAnsi="仿宋" w:eastAsia="仿宋" w:cs="楷体"/>
          <w:sz w:val="24"/>
        </w:rPr>
        <w:t xml:space="preserve"> </w:t>
      </w:r>
      <w:r>
        <w:rPr>
          <w:rFonts w:hint="eastAsia" w:ascii="仿宋" w:hAnsi="仿宋" w:eastAsia="仿宋" w:cs="仿宋"/>
          <w:b w:val="0"/>
          <w:bCs/>
          <w:color w:val="000000"/>
          <w:sz w:val="21"/>
          <w:szCs w:val="21"/>
          <w:lang w:val="en-US" w:eastAsia="zh-CN"/>
        </w:rPr>
        <w:t>表9</w:t>
      </w:r>
    </w:p>
    <w:tbl>
      <w:tblPr>
        <w:tblStyle w:val="8"/>
        <w:tblpPr w:leftFromText="180" w:rightFromText="180" w:vertAnchor="text" w:horzAnchor="page" w:tblpX="2532" w:tblpY="153"/>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87"/>
        <w:gridCol w:w="1243"/>
        <w:gridCol w:w="1336"/>
        <w:gridCol w:w="2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787" w:type="dxa"/>
            <w:tcBorders>
              <w:top w:val="single" w:color="73C652" w:sz="8" w:space="0"/>
              <w:left w:val="single" w:color="73C652"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人员组成</w:t>
            </w:r>
          </w:p>
        </w:tc>
        <w:tc>
          <w:tcPr>
            <w:tcW w:w="1243"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工作日（天）</w:t>
            </w:r>
          </w:p>
        </w:tc>
        <w:tc>
          <w:tcPr>
            <w:tcW w:w="1336"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年薪/成本</w:t>
            </w:r>
          </w:p>
        </w:tc>
        <w:tc>
          <w:tcPr>
            <w:tcW w:w="2276" w:type="dxa"/>
            <w:tcBorders>
              <w:top w:val="single" w:color="73C652" w:sz="8" w:space="0"/>
              <w:left w:val="dotted" w:color="auto" w:sz="8" w:space="0"/>
              <w:bottom w:val="single" w:color="73C652" w:sz="1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成本金额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787" w:type="dxa"/>
            <w:tcBorders>
              <w:top w:val="single" w:color="73C652" w:sz="1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1名技术总监人工成本</w:t>
            </w:r>
          </w:p>
        </w:tc>
        <w:tc>
          <w:tcPr>
            <w:tcW w:w="1243" w:type="dxa"/>
            <w:tcBorders>
              <w:top w:val="single" w:color="73C652" w:sz="1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w:t>
            </w:r>
          </w:p>
        </w:tc>
        <w:tc>
          <w:tcPr>
            <w:tcW w:w="1336" w:type="dxa"/>
            <w:tcBorders>
              <w:top w:val="single" w:color="73C652" w:sz="1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15万元</w:t>
            </w:r>
          </w:p>
        </w:tc>
        <w:tc>
          <w:tcPr>
            <w:tcW w:w="2276" w:type="dxa"/>
            <w:tcBorders>
              <w:top w:val="single" w:color="73C652" w:sz="1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9,000元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2787"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2名土地估价师人工成本</w:t>
            </w:r>
          </w:p>
        </w:tc>
        <w:tc>
          <w:tcPr>
            <w:tcW w:w="1243" w:type="dxa"/>
            <w:tcBorders>
              <w:top w:val="dotted" w:color="auto" w:sz="8" w:space="0"/>
              <w:left w:val="dotted" w:color="auto" w:sz="8" w:space="0"/>
              <w:bottom w:val="dotted" w:color="auto" w:sz="8" w:space="0"/>
              <w:right w:val="dotted" w:color="auto"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10万元</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12,000元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787"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1名估价师助理人工成本</w:t>
            </w:r>
          </w:p>
        </w:tc>
        <w:tc>
          <w:tcPr>
            <w:tcW w:w="1243" w:type="dxa"/>
            <w:tcBorders>
              <w:top w:val="dotted" w:color="auto" w:sz="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6万元</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3,600元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787"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交通费、住宿费、餐费</w:t>
            </w:r>
          </w:p>
        </w:tc>
        <w:tc>
          <w:tcPr>
            <w:tcW w:w="1243" w:type="dxa"/>
            <w:tcBorders>
              <w:top w:val="dotted" w:color="auto" w:sz="8" w:space="0"/>
              <w:left w:val="dotted" w:color="auto" w:sz="8" w:space="0"/>
              <w:bottom w:val="dotted" w:color="auto" w:sz="8" w:space="0"/>
              <w:right w:val="dotted" w:color="auto"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350元每人/天</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21,000元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787" w:type="dxa"/>
            <w:tcBorders>
              <w:top w:val="dotted" w:color="auto" w:sz="8" w:space="0"/>
              <w:left w:val="single" w:color="73C652"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合计</w:t>
            </w:r>
          </w:p>
        </w:tc>
        <w:tc>
          <w:tcPr>
            <w:tcW w:w="1243"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1336"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2276" w:type="dxa"/>
            <w:tcBorders>
              <w:top w:val="dotted" w:color="auto" w:sz="8" w:space="0"/>
              <w:left w:val="dotted" w:color="auto" w:sz="8" w:space="0"/>
              <w:bottom w:val="single" w:color="73C652" w:sz="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45,600元</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default"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default"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numPr>
          <w:ilvl w:val="0"/>
          <w:numId w:val="0"/>
        </w:numPr>
        <w:spacing w:line="360" w:lineRule="auto"/>
        <w:ind w:firstLine="640"/>
        <w:jc w:val="left"/>
        <w:rPr>
          <w:rFonts w:hint="default" w:ascii="仿宋" w:hAnsi="仿宋" w:eastAsia="仿宋" w:cs="楷体"/>
          <w:bCs/>
          <w:sz w:val="24"/>
          <w:szCs w:val="24"/>
          <w:lang w:val="en-US" w:eastAsia="zh-CN"/>
        </w:rPr>
      </w:pPr>
      <w:r>
        <w:rPr>
          <w:rFonts w:hint="eastAsia" w:ascii="仿宋" w:hAnsi="仿宋" w:eastAsia="仿宋" w:cs="楷体"/>
          <w:bCs/>
          <w:sz w:val="24"/>
          <w:szCs w:val="24"/>
          <w:lang w:val="en-US" w:eastAsia="zh-CN"/>
        </w:rPr>
        <w:t>3、内业处理</w:t>
      </w:r>
    </w:p>
    <w:p>
      <w:pPr>
        <w:numPr>
          <w:ilvl w:val="0"/>
          <w:numId w:val="0"/>
        </w:numPr>
        <w:spacing w:line="360" w:lineRule="auto"/>
        <w:ind w:firstLine="640"/>
        <w:jc w:val="left"/>
        <w:rPr>
          <w:rFonts w:hint="default" w:ascii="仿宋" w:hAnsi="仿宋" w:eastAsia="仿宋" w:cs="楷体"/>
          <w:bCs/>
          <w:sz w:val="24"/>
          <w:szCs w:val="24"/>
          <w:lang w:val="en-US" w:eastAsia="zh-CN"/>
        </w:rPr>
      </w:pPr>
      <w:r>
        <w:rPr>
          <w:rFonts w:hint="eastAsia" w:ascii="仿宋" w:hAnsi="仿宋" w:eastAsia="仿宋" w:cs="楷体"/>
          <w:bCs/>
          <w:sz w:val="24"/>
          <w:szCs w:val="24"/>
          <w:lang w:val="en-US" w:eastAsia="zh-CN"/>
        </w:rPr>
        <w:t>内业处理工作主要包括定级、基准地价评估与确定、基准地价系数表编制等工作内容。</w:t>
      </w:r>
    </w:p>
    <w:p>
      <w:pPr>
        <w:numPr>
          <w:ilvl w:val="0"/>
          <w:numId w:val="0"/>
        </w:numPr>
        <w:spacing w:line="360" w:lineRule="auto"/>
        <w:ind w:firstLine="640"/>
        <w:jc w:val="left"/>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根据《自然资源分等定级通则》（TD/T 1060-2021）、《林地分等定级技术规范》（T/CREVA 3101-2021）的规定，林地定级主要工作内容有：（1）确定定级指标体系：根据各地实际需求,酌情选择备选指标,确定适宜的定级指标体系，公益林地与商品林地分别定级；（2）确定定级指标分值；（3）划分定级单元和编制定级单元图：定级单元以最新国土(自然资源)调查的现状林地图斑为底图,使用图斑法、网格法或叠加法划分定级单元；（4）计算各定级单元分值：采用特尔斐法、层次分析法或因素成对比较法等方法确定指标体系中各指标权重。公益林地采用修正法计算定级单元分值;商品林地采用因素法计算定级单元分值；（5）确定级别划分标准：使用等间距法或总分顿率曲线法、总分数轴法、聚类分析法等方法划分适宜的林地级别,确定林地级别划分标准，级别数量以 3 级一10 级为宜。公益林地与商品林地应分别定级，商品林转化为公益林的,其公益林地级别可参考同一区域内同等别林地的公益林级别。各地可根据实际需要划分级别,级别数以3级-10 级为宜。若采用等间距法,分别将商品林地定级单元和公益林地定级单元分值标准化，根据划分的级别确定级别划分的标准分值；（6）级别验证、调整与确定：通过对总体进行分析或抽样调查的方法对级别划分结果进行验证与调整,确定级别划分结果。</w:t>
      </w:r>
    </w:p>
    <w:p>
      <w:pPr>
        <w:numPr>
          <w:ilvl w:val="0"/>
          <w:numId w:val="0"/>
        </w:numPr>
        <w:spacing w:line="360" w:lineRule="auto"/>
        <w:ind w:firstLine="640"/>
        <w:jc w:val="left"/>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根据《自然资源价格评估通则》（TD/T1061-2021）、《林地估价技术规范》（T/CREVA 1101-2021）的规定，基准地价评估与确定主要工作内容为采用适宜的估价方法对各级别基准地价进行测算；对所采用技术路线计算出的基准地价结果与实际情况进行比较、验证后，进行适当调整，确定各级别（均质地域）基准地价；基准地价修正系数编制主要工作内容为影响因素的选择及权重确定；基准地价修正幅度值计算；编制基准地价修正系数表和指标说明。</w:t>
      </w:r>
    </w:p>
    <w:p>
      <w:pPr>
        <w:numPr>
          <w:ilvl w:val="0"/>
          <w:numId w:val="0"/>
        </w:numPr>
        <w:spacing w:line="360" w:lineRule="auto"/>
        <w:ind w:firstLine="640"/>
        <w:jc w:val="left"/>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此项工作需</w:t>
      </w:r>
      <w:r>
        <w:rPr>
          <w:rFonts w:hint="eastAsia" w:ascii="仿宋" w:hAnsi="仿宋" w:eastAsia="仿宋" w:cs="楷体"/>
          <w:bCs/>
          <w:sz w:val="24"/>
          <w:szCs w:val="24"/>
          <w:lang w:eastAsia="zh-CN"/>
        </w:rPr>
        <w:t>需1名技术总监及2名土地估价师、1名估价师助理</w:t>
      </w:r>
      <w:r>
        <w:rPr>
          <w:rFonts w:hint="eastAsia" w:ascii="仿宋" w:hAnsi="仿宋" w:eastAsia="仿宋" w:cs="楷体"/>
          <w:bCs/>
          <w:sz w:val="24"/>
          <w:szCs w:val="24"/>
          <w:lang w:val="en-US" w:eastAsia="zh-CN"/>
        </w:rPr>
        <w:t>15个工作日完成；确定定级指标体系与分值，需邀请熟悉林地状况和社会经济发展状况等有关行业的技术、管理专家及高层决策者进行打分，专家人数20人左右；定级及基准地价评估过程需采购基准地价评估软件及土壤检测。具体成本详见下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1"/>
        <w:jc w:val="center"/>
        <w:textAlignment w:val="auto"/>
        <w:rPr>
          <w:rFonts w:hint="default" w:ascii="仿宋" w:hAnsi="仿宋" w:eastAsia="仿宋" w:cs="楷体"/>
          <w:bCs/>
          <w:sz w:val="24"/>
          <w:szCs w:val="24"/>
          <w:lang w:val="en-US" w:eastAsia="zh-CN"/>
        </w:rPr>
      </w:pPr>
      <w:r>
        <w:rPr>
          <w:rFonts w:hint="eastAsia" w:ascii="仿宋" w:hAnsi="仿宋" w:eastAsia="仿宋" w:cs="楷体"/>
          <w:b/>
          <w:sz w:val="24"/>
          <w:lang w:val="en-US" w:eastAsia="zh-CN"/>
        </w:rPr>
        <w:t xml:space="preserve">              </w:t>
      </w:r>
      <w:r>
        <w:rPr>
          <w:rFonts w:hint="eastAsia" w:ascii="仿宋" w:hAnsi="仿宋" w:eastAsia="仿宋" w:cs="楷体"/>
          <w:b/>
          <w:sz w:val="24"/>
          <w:lang w:eastAsia="zh-CN"/>
        </w:rPr>
        <w:t xml:space="preserve"> </w:t>
      </w:r>
      <w:r>
        <w:rPr>
          <w:rFonts w:hint="eastAsia" w:ascii="仿宋" w:hAnsi="仿宋" w:eastAsia="仿宋" w:cs="楷体"/>
          <w:b/>
          <w:sz w:val="24"/>
          <w:lang w:val="en-US" w:eastAsia="zh-CN"/>
        </w:rPr>
        <w:t xml:space="preserve">    内业处理</w:t>
      </w:r>
      <w:r>
        <w:rPr>
          <w:rFonts w:hint="eastAsia" w:ascii="仿宋" w:hAnsi="仿宋" w:eastAsia="仿宋" w:cs="楷体"/>
          <w:b/>
          <w:sz w:val="24"/>
          <w:lang w:eastAsia="zh-CN"/>
        </w:rPr>
        <w:t>成本测算表</w:t>
      </w:r>
      <w:r>
        <w:rPr>
          <w:rFonts w:hint="eastAsia" w:ascii="仿宋" w:hAnsi="仿宋" w:eastAsia="仿宋" w:cs="楷体"/>
          <w:b/>
          <w:sz w:val="24"/>
        </w:rPr>
        <w:t xml:space="preserve"> </w:t>
      </w:r>
      <w:r>
        <w:rPr>
          <w:rFonts w:ascii="仿宋" w:hAnsi="仿宋" w:eastAsia="仿宋" w:cs="楷体"/>
          <w:b/>
          <w:sz w:val="24"/>
        </w:rPr>
        <w:t xml:space="preserve">               </w:t>
      </w:r>
      <w:r>
        <w:rPr>
          <w:rFonts w:ascii="仿宋" w:hAnsi="仿宋" w:eastAsia="仿宋" w:cs="楷体"/>
          <w:sz w:val="24"/>
        </w:rPr>
        <w:t xml:space="preserve"> </w:t>
      </w:r>
      <w:r>
        <w:rPr>
          <w:rFonts w:hint="eastAsia" w:ascii="仿宋" w:hAnsi="仿宋" w:eastAsia="仿宋" w:cs="仿宋"/>
          <w:b w:val="0"/>
          <w:bCs/>
          <w:color w:val="000000"/>
          <w:sz w:val="21"/>
          <w:szCs w:val="21"/>
          <w:lang w:val="en-US" w:eastAsia="zh-CN"/>
        </w:rPr>
        <w:t>表10</w:t>
      </w:r>
    </w:p>
    <w:tbl>
      <w:tblPr>
        <w:tblStyle w:val="8"/>
        <w:tblpPr w:leftFromText="180" w:rightFromText="180" w:vertAnchor="text" w:horzAnchor="page" w:tblpX="2532" w:tblpY="161"/>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690"/>
        <w:gridCol w:w="1562"/>
        <w:gridCol w:w="1425"/>
        <w:gridCol w:w="196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690" w:type="dxa"/>
            <w:tcBorders>
              <w:top w:val="single" w:color="73C652" w:sz="8" w:space="0"/>
              <w:left w:val="single" w:color="73C652"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人员组成</w:t>
            </w:r>
          </w:p>
        </w:tc>
        <w:tc>
          <w:tcPr>
            <w:tcW w:w="1562"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工作日/数量</w:t>
            </w:r>
          </w:p>
        </w:tc>
        <w:tc>
          <w:tcPr>
            <w:tcW w:w="1425"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年薪/成本</w:t>
            </w:r>
          </w:p>
        </w:tc>
        <w:tc>
          <w:tcPr>
            <w:tcW w:w="1965" w:type="dxa"/>
            <w:tcBorders>
              <w:top w:val="single" w:color="73C652" w:sz="8" w:space="0"/>
              <w:left w:val="dotted" w:color="auto" w:sz="8" w:space="0"/>
              <w:bottom w:val="single" w:color="73C652" w:sz="1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成本金额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2690" w:type="dxa"/>
            <w:tcBorders>
              <w:top w:val="single" w:color="73C652" w:sz="1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1名技术总监人工成本</w:t>
            </w:r>
          </w:p>
        </w:tc>
        <w:tc>
          <w:tcPr>
            <w:tcW w:w="1562" w:type="dxa"/>
            <w:tcBorders>
              <w:top w:val="single" w:color="73C652" w:sz="1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15日</w:t>
            </w:r>
          </w:p>
        </w:tc>
        <w:tc>
          <w:tcPr>
            <w:tcW w:w="1425" w:type="dxa"/>
            <w:tcBorders>
              <w:top w:val="single" w:color="73C652" w:sz="1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15万元</w:t>
            </w:r>
          </w:p>
        </w:tc>
        <w:tc>
          <w:tcPr>
            <w:tcW w:w="1965" w:type="dxa"/>
            <w:tcBorders>
              <w:top w:val="single" w:color="73C652" w:sz="1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9,000元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2690"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2名土地估价师人工成本</w:t>
            </w:r>
          </w:p>
        </w:tc>
        <w:tc>
          <w:tcPr>
            <w:tcW w:w="1562" w:type="dxa"/>
            <w:tcBorders>
              <w:top w:val="dotted" w:color="auto" w:sz="8" w:space="0"/>
              <w:left w:val="dotted" w:color="auto" w:sz="8" w:space="0"/>
              <w:bottom w:val="dotted" w:color="auto" w:sz="8" w:space="0"/>
              <w:right w:val="dotted" w:color="auto"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15日</w:t>
            </w:r>
          </w:p>
        </w:tc>
        <w:tc>
          <w:tcPr>
            <w:tcW w:w="1425"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10万元</w:t>
            </w:r>
          </w:p>
        </w:tc>
        <w:tc>
          <w:tcPr>
            <w:tcW w:w="1965" w:type="dxa"/>
            <w:tcBorders>
              <w:top w:val="dotted" w:color="auto" w:sz="8" w:space="0"/>
              <w:left w:val="dotted" w:color="auto" w:sz="8" w:space="0"/>
              <w:bottom w:val="dotted" w:color="auto" w:sz="8" w:space="0"/>
              <w:right w:val="single" w:color="73C652"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12,000元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690"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1名估价师助理人工成本</w:t>
            </w:r>
          </w:p>
        </w:tc>
        <w:tc>
          <w:tcPr>
            <w:tcW w:w="1562" w:type="dxa"/>
            <w:tcBorders>
              <w:top w:val="dotted" w:color="auto" w:sz="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15日</w:t>
            </w:r>
          </w:p>
        </w:tc>
        <w:tc>
          <w:tcPr>
            <w:tcW w:w="1425"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6万元</w:t>
            </w:r>
          </w:p>
        </w:tc>
        <w:tc>
          <w:tcPr>
            <w:tcW w:w="1965" w:type="dxa"/>
            <w:tcBorders>
              <w:top w:val="dotted" w:color="auto" w:sz="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3,600元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690"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20名专家代表的费用</w:t>
            </w:r>
          </w:p>
        </w:tc>
        <w:tc>
          <w:tcPr>
            <w:tcW w:w="1562" w:type="dxa"/>
            <w:tcBorders>
              <w:top w:val="dotted" w:color="auto" w:sz="8" w:space="0"/>
              <w:left w:val="dotted" w:color="auto" w:sz="8" w:space="0"/>
              <w:bottom w:val="dotted" w:color="auto" w:sz="8" w:space="0"/>
              <w:right w:val="dotted" w:color="auto"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kern w:val="2"/>
                <w:sz w:val="21"/>
                <w:szCs w:val="21"/>
                <w:vertAlign w:val="baseline"/>
                <w:lang w:val="en-US" w:eastAsia="zh-CN" w:bidi="ar-SA"/>
              </w:rPr>
              <w:t>20人</w:t>
            </w:r>
          </w:p>
        </w:tc>
        <w:tc>
          <w:tcPr>
            <w:tcW w:w="1425"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800元每人</w:t>
            </w:r>
          </w:p>
        </w:tc>
        <w:tc>
          <w:tcPr>
            <w:tcW w:w="1965" w:type="dxa"/>
            <w:tcBorders>
              <w:top w:val="dotted" w:color="auto" w:sz="8" w:space="0"/>
              <w:left w:val="dotted" w:color="auto" w:sz="8" w:space="0"/>
              <w:bottom w:val="dotted" w:color="auto" w:sz="8" w:space="0"/>
              <w:right w:val="single" w:color="73C652"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16,000元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2690"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基准地价软件费用</w:t>
            </w:r>
          </w:p>
        </w:tc>
        <w:tc>
          <w:tcPr>
            <w:tcW w:w="1562" w:type="dxa"/>
            <w:tcBorders>
              <w:top w:val="dotted" w:color="auto" w:sz="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p>
        </w:tc>
        <w:tc>
          <w:tcPr>
            <w:tcW w:w="1425"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p>
        </w:tc>
        <w:tc>
          <w:tcPr>
            <w:tcW w:w="1965" w:type="dxa"/>
            <w:tcBorders>
              <w:top w:val="dotted" w:color="auto" w:sz="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690"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土壤检测费</w:t>
            </w:r>
          </w:p>
        </w:tc>
        <w:tc>
          <w:tcPr>
            <w:tcW w:w="1562" w:type="dxa"/>
            <w:tcBorders>
              <w:top w:val="dotted" w:color="auto" w:sz="8" w:space="0"/>
              <w:left w:val="dotted" w:color="auto" w:sz="8" w:space="0"/>
              <w:bottom w:val="dotted" w:color="auto" w:sz="8" w:space="0"/>
              <w:right w:val="dotted" w:color="auto"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按200个样点采样</w:t>
            </w:r>
          </w:p>
        </w:tc>
        <w:tc>
          <w:tcPr>
            <w:tcW w:w="1425"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180元/样点</w:t>
            </w:r>
          </w:p>
        </w:tc>
        <w:tc>
          <w:tcPr>
            <w:tcW w:w="1965" w:type="dxa"/>
            <w:tcBorders>
              <w:top w:val="dotted" w:color="auto" w:sz="8" w:space="0"/>
              <w:left w:val="dotted" w:color="auto" w:sz="8" w:space="0"/>
              <w:bottom w:val="dotted" w:color="auto" w:sz="8" w:space="0"/>
              <w:right w:val="single" w:color="73C652"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36,000元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2690" w:type="dxa"/>
            <w:tcBorders>
              <w:top w:val="dotted" w:color="auto" w:sz="8" w:space="0"/>
              <w:left w:val="single" w:color="73C652"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合计</w:t>
            </w:r>
          </w:p>
        </w:tc>
        <w:tc>
          <w:tcPr>
            <w:tcW w:w="1562"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1425"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1965" w:type="dxa"/>
            <w:tcBorders>
              <w:top w:val="dotted" w:color="auto" w:sz="8" w:space="0"/>
              <w:left w:val="dotted" w:color="auto" w:sz="8" w:space="0"/>
              <w:bottom w:val="single" w:color="73C652" w:sz="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86,600元</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numPr>
          <w:ilvl w:val="0"/>
          <w:numId w:val="0"/>
        </w:numPr>
        <w:spacing w:line="360" w:lineRule="auto"/>
        <w:ind w:firstLine="640"/>
        <w:jc w:val="left"/>
        <w:rPr>
          <w:rFonts w:hint="default" w:ascii="仿宋" w:hAnsi="仿宋" w:eastAsia="仿宋" w:cs="楷体"/>
          <w:bCs/>
          <w:sz w:val="28"/>
          <w:szCs w:val="28"/>
          <w:lang w:val="en-US" w:eastAsia="zh-CN"/>
        </w:rPr>
      </w:pPr>
      <w:r>
        <w:rPr>
          <w:rFonts w:hint="eastAsia" w:ascii="仿宋" w:hAnsi="仿宋" w:eastAsia="仿宋" w:cs="楷体"/>
          <w:bCs/>
          <w:sz w:val="24"/>
          <w:szCs w:val="24"/>
          <w:lang w:val="en-US" w:eastAsia="zh-CN"/>
        </w:rPr>
        <w:t>4、成果编制</w:t>
      </w:r>
    </w:p>
    <w:p>
      <w:pPr>
        <w:numPr>
          <w:ilvl w:val="0"/>
          <w:numId w:val="0"/>
        </w:numPr>
        <w:spacing w:line="360" w:lineRule="auto"/>
        <w:ind w:firstLine="640"/>
        <w:jc w:val="left"/>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根据《自然资源分等定级通则》（TD/T 1060-2021）、《自然资源价格评估通则》（TD/T1061-2021）、《林地分等定级技术规范》（T/CREVA 3101-2021）、《林地估价技术规范》（T/CREVA 1101-2021）的规定，成果编制主要工作内容有：（1）文字成果：主要报告工作报告和技术报告；（2）图件成果：主要有林地定级成果图件包括中间成果图和最终成果图；中间成果图为林地定级单元图等图件,最终成果图为林地级别分布图；（3）基础资料汇编，包括以下内容;基本参数表、指标权重表、原始数据与资料,中间成果资料、相关的工作文件、技术文件等。采用计算机技术开展林地定级工作,需要将基础资料信息数据库中的内容作为基础资料进行整理在基础资料汇编中设专门笃幅加以说明;（4）数据成果：主要包括结果汇总表、数据库、基础地理信息要素、林地信息要素、样点价格信息要素、基准地价信息要素、其他相关成果数据表等；（5）电子成果：指用计算机处理、用光盘或硬盘保存和提交的林地定级成果,主要包括文字成果、图件成果、数据库成果和基础资料汇编。</w:t>
      </w:r>
    </w:p>
    <w:p>
      <w:pPr>
        <w:numPr>
          <w:ilvl w:val="0"/>
          <w:numId w:val="0"/>
        </w:numPr>
        <w:spacing w:line="360" w:lineRule="auto"/>
        <w:ind w:firstLine="480" w:firstLineChars="200"/>
        <w:jc w:val="left"/>
        <w:rPr>
          <w:rFonts w:hint="eastAsia" w:ascii="仿宋" w:hAnsi="仿宋" w:eastAsia="仿宋" w:cs="楷体"/>
          <w:bCs/>
          <w:sz w:val="24"/>
          <w:szCs w:val="24"/>
          <w:lang w:eastAsia="zh-CN"/>
        </w:rPr>
      </w:pPr>
      <w:r>
        <w:rPr>
          <w:rFonts w:hint="eastAsia" w:ascii="仿宋" w:hAnsi="仿宋" w:eastAsia="仿宋" w:cs="楷体"/>
          <w:bCs/>
          <w:sz w:val="24"/>
          <w:szCs w:val="24"/>
          <w:lang w:eastAsia="zh-CN"/>
        </w:rPr>
        <w:t>此项工作需1名技术总监及2名土地估价师、1名估价师助理</w:t>
      </w:r>
      <w:r>
        <w:rPr>
          <w:rFonts w:hint="eastAsia" w:ascii="仿宋" w:hAnsi="仿宋" w:eastAsia="仿宋" w:cs="楷体"/>
          <w:bCs/>
          <w:sz w:val="24"/>
          <w:szCs w:val="24"/>
          <w:lang w:val="en-US" w:eastAsia="zh-CN"/>
        </w:rPr>
        <w:t>10个工作日</w:t>
      </w:r>
      <w:r>
        <w:rPr>
          <w:rFonts w:hint="eastAsia" w:ascii="仿宋" w:hAnsi="仿宋" w:eastAsia="仿宋" w:cs="楷体"/>
          <w:bCs/>
          <w:sz w:val="24"/>
          <w:szCs w:val="24"/>
        </w:rPr>
        <w:t>完成，具体成本详见下表</w:t>
      </w:r>
      <w:r>
        <w:rPr>
          <w:rFonts w:hint="eastAsia" w:ascii="仿宋" w:hAnsi="仿宋" w:eastAsia="仿宋" w:cs="楷体"/>
          <w:bCs/>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1"/>
        <w:jc w:val="center"/>
        <w:textAlignment w:val="auto"/>
        <w:rPr>
          <w:rFonts w:hint="default" w:ascii="仿宋" w:hAnsi="仿宋" w:eastAsia="仿宋" w:cs="楷体"/>
          <w:bCs/>
          <w:sz w:val="24"/>
          <w:szCs w:val="24"/>
          <w:lang w:val="en-US" w:eastAsia="zh-CN"/>
        </w:rPr>
      </w:pPr>
      <w:r>
        <w:rPr>
          <w:rFonts w:hint="eastAsia" w:ascii="仿宋" w:hAnsi="仿宋" w:eastAsia="仿宋" w:cs="楷体"/>
          <w:b/>
          <w:sz w:val="24"/>
          <w:lang w:val="en-US" w:eastAsia="zh-CN"/>
        </w:rPr>
        <w:t xml:space="preserve">              </w:t>
      </w:r>
      <w:r>
        <w:rPr>
          <w:rFonts w:hint="eastAsia" w:ascii="仿宋" w:hAnsi="仿宋" w:eastAsia="仿宋" w:cs="楷体"/>
          <w:b/>
          <w:sz w:val="24"/>
          <w:lang w:eastAsia="zh-CN"/>
        </w:rPr>
        <w:t xml:space="preserve"> </w:t>
      </w:r>
      <w:r>
        <w:rPr>
          <w:rFonts w:hint="eastAsia" w:ascii="仿宋" w:hAnsi="仿宋" w:eastAsia="仿宋" w:cs="楷体"/>
          <w:b/>
          <w:sz w:val="24"/>
          <w:lang w:val="en-US" w:eastAsia="zh-CN"/>
        </w:rPr>
        <w:t xml:space="preserve">      成果编制</w:t>
      </w:r>
      <w:r>
        <w:rPr>
          <w:rFonts w:hint="eastAsia" w:ascii="仿宋" w:hAnsi="仿宋" w:eastAsia="仿宋" w:cs="楷体"/>
          <w:b/>
          <w:sz w:val="24"/>
          <w:lang w:eastAsia="zh-CN"/>
        </w:rPr>
        <w:t>成本测算表</w:t>
      </w:r>
      <w:r>
        <w:rPr>
          <w:rFonts w:hint="eastAsia" w:ascii="仿宋" w:hAnsi="仿宋" w:eastAsia="仿宋" w:cs="楷体"/>
          <w:b/>
          <w:sz w:val="24"/>
        </w:rPr>
        <w:t xml:space="preserve"> </w:t>
      </w:r>
      <w:r>
        <w:rPr>
          <w:rFonts w:ascii="仿宋" w:hAnsi="仿宋" w:eastAsia="仿宋" w:cs="楷体"/>
          <w:b/>
          <w:sz w:val="24"/>
        </w:rPr>
        <w:t xml:space="preserve">               </w:t>
      </w:r>
      <w:r>
        <w:rPr>
          <w:rFonts w:ascii="仿宋" w:hAnsi="仿宋" w:eastAsia="仿宋" w:cs="楷体"/>
          <w:sz w:val="24"/>
        </w:rPr>
        <w:t xml:space="preserve"> </w:t>
      </w:r>
      <w:r>
        <w:rPr>
          <w:rFonts w:hint="eastAsia" w:ascii="仿宋" w:hAnsi="仿宋" w:eastAsia="仿宋" w:cs="仿宋"/>
          <w:b w:val="0"/>
          <w:bCs/>
          <w:color w:val="000000"/>
          <w:sz w:val="21"/>
          <w:szCs w:val="21"/>
          <w:lang w:val="en-US" w:eastAsia="zh-CN"/>
        </w:rPr>
        <w:t>表11</w:t>
      </w:r>
    </w:p>
    <w:tbl>
      <w:tblPr>
        <w:tblStyle w:val="8"/>
        <w:tblpPr w:leftFromText="180" w:rightFromText="180" w:vertAnchor="text" w:horzAnchor="page" w:tblpX="2532" w:tblpY="161"/>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690"/>
        <w:gridCol w:w="1340"/>
        <w:gridCol w:w="1336"/>
        <w:gridCol w:w="2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690" w:type="dxa"/>
            <w:tcBorders>
              <w:top w:val="single" w:color="73C652" w:sz="8" w:space="0"/>
              <w:left w:val="single" w:color="73C652"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人员组成</w:t>
            </w:r>
          </w:p>
        </w:tc>
        <w:tc>
          <w:tcPr>
            <w:tcW w:w="1340"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工作日（天）</w:t>
            </w:r>
          </w:p>
        </w:tc>
        <w:tc>
          <w:tcPr>
            <w:tcW w:w="1336"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年薪/成本</w:t>
            </w:r>
          </w:p>
        </w:tc>
        <w:tc>
          <w:tcPr>
            <w:tcW w:w="2276" w:type="dxa"/>
            <w:tcBorders>
              <w:top w:val="single" w:color="73C652" w:sz="8" w:space="0"/>
              <w:left w:val="dotted" w:color="auto" w:sz="8" w:space="0"/>
              <w:bottom w:val="single" w:color="73C652" w:sz="1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成本金额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2690" w:type="dxa"/>
            <w:tcBorders>
              <w:top w:val="single" w:color="73C652" w:sz="1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1名技术总监人工成本</w:t>
            </w:r>
          </w:p>
        </w:tc>
        <w:tc>
          <w:tcPr>
            <w:tcW w:w="1340" w:type="dxa"/>
            <w:tcBorders>
              <w:top w:val="single" w:color="73C652" w:sz="1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w:t>
            </w:r>
          </w:p>
        </w:tc>
        <w:tc>
          <w:tcPr>
            <w:tcW w:w="1336" w:type="dxa"/>
            <w:tcBorders>
              <w:top w:val="single" w:color="73C652" w:sz="1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15万元</w:t>
            </w:r>
          </w:p>
        </w:tc>
        <w:tc>
          <w:tcPr>
            <w:tcW w:w="2276" w:type="dxa"/>
            <w:tcBorders>
              <w:top w:val="single" w:color="73C652" w:sz="1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6,000元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2690"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2名土地估价师人工成本</w:t>
            </w:r>
          </w:p>
        </w:tc>
        <w:tc>
          <w:tcPr>
            <w:tcW w:w="1340" w:type="dxa"/>
            <w:tcBorders>
              <w:top w:val="dotted" w:color="auto" w:sz="8" w:space="0"/>
              <w:left w:val="dotted" w:color="auto" w:sz="8" w:space="0"/>
              <w:bottom w:val="dotted" w:color="auto" w:sz="8" w:space="0"/>
              <w:right w:val="dotted" w:color="auto"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10万元</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8,000元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2690"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1名估价师助理人工成本</w:t>
            </w:r>
          </w:p>
        </w:tc>
        <w:tc>
          <w:tcPr>
            <w:tcW w:w="1340" w:type="dxa"/>
            <w:tcBorders>
              <w:top w:val="dotted" w:color="auto" w:sz="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6万元</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2,400元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2690" w:type="dxa"/>
            <w:tcBorders>
              <w:top w:val="dotted" w:color="auto" w:sz="8" w:space="0"/>
              <w:left w:val="single" w:color="73C652"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合计</w:t>
            </w:r>
          </w:p>
        </w:tc>
        <w:tc>
          <w:tcPr>
            <w:tcW w:w="1340"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1336"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2276" w:type="dxa"/>
            <w:tcBorders>
              <w:top w:val="dotted" w:color="auto" w:sz="8" w:space="0"/>
              <w:left w:val="dotted" w:color="auto" w:sz="8" w:space="0"/>
              <w:bottom w:val="single" w:color="73C652" w:sz="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16,400元</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仿宋" w:hAnsi="仿宋" w:eastAsia="仿宋" w:cs="楷体"/>
          <w:bCs/>
          <w:sz w:val="24"/>
          <w:szCs w:val="24"/>
          <w:lang w:val="en-US" w:eastAsia="zh-CN"/>
        </w:rPr>
      </w:pPr>
      <w:r>
        <w:rPr>
          <w:rFonts w:hint="eastAsia" w:ascii="仿宋" w:hAnsi="仿宋" w:eastAsia="仿宋" w:cs="楷体"/>
          <w:bCs/>
          <w:sz w:val="24"/>
          <w:szCs w:val="24"/>
          <w:lang w:val="en-US" w:eastAsia="zh-CN"/>
        </w:rPr>
        <w:t>5、意见征询成本</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林地定级和基准地价评估成果编制完成后，需就初步的成果到自然资源主管部门及各乡镇人民政府进行成果解释及意见征询。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rPr>
      </w:pPr>
      <w:r>
        <w:rPr>
          <w:rFonts w:hint="eastAsia" w:ascii="仿宋" w:hAnsi="仿宋" w:eastAsia="仿宋" w:cs="楷体"/>
          <w:bCs/>
          <w:sz w:val="24"/>
          <w:szCs w:val="24"/>
        </w:rPr>
        <w:t>此项工作需</w:t>
      </w:r>
      <w:r>
        <w:rPr>
          <w:rFonts w:hint="eastAsia" w:ascii="仿宋" w:hAnsi="仿宋" w:eastAsia="仿宋" w:cs="楷体"/>
          <w:bCs/>
          <w:sz w:val="24"/>
          <w:szCs w:val="24"/>
          <w:lang w:eastAsia="zh-CN"/>
        </w:rPr>
        <w:t>1名技术总监及2名土地估价师、1名估价师助理</w:t>
      </w:r>
      <w:r>
        <w:rPr>
          <w:rFonts w:hint="eastAsia" w:ascii="仿宋" w:hAnsi="仿宋" w:eastAsia="仿宋" w:cs="楷体"/>
          <w:bCs/>
          <w:sz w:val="24"/>
          <w:szCs w:val="24"/>
          <w:lang w:val="en-US" w:eastAsia="zh-CN"/>
        </w:rPr>
        <w:t>7个工作日</w:t>
      </w:r>
      <w:r>
        <w:rPr>
          <w:rFonts w:hint="eastAsia" w:ascii="仿宋" w:hAnsi="仿宋" w:eastAsia="仿宋" w:cs="楷体"/>
          <w:bCs/>
          <w:sz w:val="24"/>
          <w:szCs w:val="24"/>
        </w:rPr>
        <w:t>完成，具体成本详见下表：</w:t>
      </w:r>
    </w:p>
    <w:p>
      <w:pPr>
        <w:keepNext w:val="0"/>
        <w:keepLines w:val="0"/>
        <w:pageBreakBefore w:val="0"/>
        <w:widowControl w:val="0"/>
        <w:kinsoku/>
        <w:wordWrap/>
        <w:overflowPunct/>
        <w:topLinePunct w:val="0"/>
        <w:autoSpaceDE/>
        <w:autoSpaceDN/>
        <w:bidi w:val="0"/>
        <w:adjustRightInd/>
        <w:snapToGrid/>
        <w:spacing w:line="240" w:lineRule="auto"/>
        <w:ind w:firstLine="641"/>
        <w:jc w:val="center"/>
        <w:textAlignment w:val="auto"/>
        <w:rPr>
          <w:rFonts w:hint="default" w:ascii="仿宋" w:hAnsi="仿宋" w:eastAsia="仿宋" w:cs="楷体"/>
          <w:b/>
          <w:sz w:val="24"/>
          <w:lang w:val="en-US" w:eastAsia="zh-CN"/>
        </w:rPr>
      </w:pPr>
      <w:r>
        <w:rPr>
          <w:rFonts w:hint="eastAsia" w:ascii="仿宋" w:hAnsi="仿宋" w:eastAsia="仿宋" w:cs="楷体"/>
          <w:b/>
          <w:sz w:val="24"/>
          <w:lang w:val="en-US" w:eastAsia="zh-CN"/>
        </w:rPr>
        <w:t xml:space="preserve">                    意见征询</w:t>
      </w:r>
      <w:r>
        <w:rPr>
          <w:rFonts w:hint="eastAsia" w:ascii="仿宋" w:hAnsi="仿宋" w:eastAsia="仿宋" w:cs="楷体"/>
          <w:b/>
          <w:sz w:val="24"/>
        </w:rPr>
        <w:t>成本</w:t>
      </w:r>
      <w:r>
        <w:rPr>
          <w:rFonts w:hint="eastAsia" w:ascii="仿宋" w:hAnsi="仿宋" w:eastAsia="仿宋" w:cs="楷体"/>
          <w:b/>
          <w:sz w:val="24"/>
          <w:lang w:eastAsia="zh-CN"/>
        </w:rPr>
        <w:t>测算表</w:t>
      </w:r>
      <w:r>
        <w:rPr>
          <w:rFonts w:hint="eastAsia" w:ascii="仿宋" w:hAnsi="仿宋" w:eastAsia="仿宋" w:cs="楷体"/>
          <w:b/>
          <w:sz w:val="24"/>
        </w:rPr>
        <w:t xml:space="preserve"> </w:t>
      </w:r>
      <w:r>
        <w:rPr>
          <w:rFonts w:ascii="仿宋" w:hAnsi="仿宋" w:eastAsia="仿宋" w:cs="楷体"/>
          <w:b/>
          <w:sz w:val="24"/>
        </w:rPr>
        <w:t xml:space="preserve">        </w:t>
      </w:r>
      <w:r>
        <w:rPr>
          <w:rFonts w:hint="eastAsia" w:ascii="仿宋" w:hAnsi="仿宋" w:eastAsia="仿宋" w:cs="楷体"/>
          <w:b/>
          <w:sz w:val="24"/>
          <w:lang w:val="en-US" w:eastAsia="zh-CN"/>
        </w:rPr>
        <w:t xml:space="preserve">   </w:t>
      </w:r>
      <w:r>
        <w:rPr>
          <w:rFonts w:ascii="仿宋" w:hAnsi="仿宋" w:eastAsia="仿宋" w:cs="楷体"/>
          <w:b/>
          <w:sz w:val="24"/>
        </w:rPr>
        <w:t xml:space="preserve">    </w:t>
      </w:r>
      <w:r>
        <w:rPr>
          <w:rFonts w:hint="eastAsia" w:ascii="仿宋" w:hAnsi="仿宋" w:eastAsia="仿宋" w:cs="仿宋"/>
          <w:b w:val="0"/>
          <w:bCs/>
          <w:color w:val="000000"/>
          <w:sz w:val="21"/>
          <w:szCs w:val="21"/>
          <w:lang w:val="en-US" w:eastAsia="zh-CN"/>
        </w:rPr>
        <w:t>表12</w:t>
      </w:r>
    </w:p>
    <w:tbl>
      <w:tblPr>
        <w:tblStyle w:val="7"/>
        <w:tblpPr w:leftFromText="180" w:rightFromText="180" w:vertAnchor="text" w:horzAnchor="page" w:tblpX="2532" w:tblpY="161"/>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615"/>
        <w:gridCol w:w="1272"/>
        <w:gridCol w:w="1628"/>
        <w:gridCol w:w="212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615" w:type="dxa"/>
            <w:tcBorders>
              <w:top w:val="single" w:color="73C652" w:sz="8" w:space="0"/>
              <w:left w:val="single" w:color="73C652" w:sz="8" w:space="0"/>
              <w:bottom w:val="single" w:color="73C652" w:sz="18" w:space="0"/>
              <w:right w:val="dotted" w:color="auto" w:sz="8" w:space="0"/>
            </w:tcBorders>
            <w:shd w:val="clear" w:color="auto" w:fill="97D57F"/>
            <w:noWrap w:val="0"/>
            <w:vAlign w:val="center"/>
          </w:tcPr>
          <w:p>
            <w:pPr>
              <w:spacing w:line="360" w:lineRule="auto"/>
              <w:jc w:val="center"/>
              <w:rPr>
                <w:rFonts w:ascii="仿宋" w:hAnsi="仿宋" w:eastAsia="仿宋" w:cs="楷体"/>
                <w:b/>
                <w:color w:val="000000"/>
                <w:szCs w:val="21"/>
              </w:rPr>
            </w:pPr>
            <w:r>
              <w:rPr>
                <w:rFonts w:hint="eastAsia" w:ascii="仿宋" w:hAnsi="仿宋" w:eastAsia="仿宋" w:cs="楷体"/>
                <w:b/>
                <w:color w:val="000000"/>
                <w:szCs w:val="21"/>
              </w:rPr>
              <w:t>人员组成</w:t>
            </w:r>
          </w:p>
        </w:tc>
        <w:tc>
          <w:tcPr>
            <w:tcW w:w="1272" w:type="dxa"/>
            <w:tcBorders>
              <w:top w:val="single" w:color="73C652" w:sz="8" w:space="0"/>
              <w:left w:val="dotted" w:color="auto" w:sz="8" w:space="0"/>
              <w:bottom w:val="single" w:color="73C652" w:sz="18" w:space="0"/>
              <w:right w:val="dotted" w:color="auto" w:sz="8" w:space="0"/>
            </w:tcBorders>
            <w:shd w:val="clear" w:color="auto" w:fill="97D57F"/>
            <w:noWrap w:val="0"/>
            <w:vAlign w:val="center"/>
          </w:tcPr>
          <w:p>
            <w:pPr>
              <w:spacing w:line="360" w:lineRule="auto"/>
              <w:jc w:val="center"/>
              <w:rPr>
                <w:rFonts w:hint="eastAsia" w:ascii="仿宋" w:hAnsi="仿宋" w:eastAsia="仿宋" w:cs="楷体"/>
                <w:b/>
                <w:color w:val="000000"/>
                <w:szCs w:val="21"/>
                <w:lang w:eastAsia="zh-CN"/>
              </w:rPr>
            </w:pPr>
            <w:r>
              <w:rPr>
                <w:rFonts w:hint="eastAsia" w:ascii="仿宋" w:hAnsi="仿宋" w:eastAsia="仿宋" w:cs="楷体"/>
                <w:b/>
                <w:color w:val="000000"/>
                <w:szCs w:val="21"/>
              </w:rPr>
              <w:t>工作日</w:t>
            </w:r>
            <w:r>
              <w:rPr>
                <w:rFonts w:hint="eastAsia" w:ascii="仿宋" w:hAnsi="仿宋" w:eastAsia="仿宋" w:cs="楷体"/>
                <w:b/>
                <w:color w:val="000000"/>
                <w:szCs w:val="21"/>
                <w:lang w:eastAsia="zh-CN"/>
              </w:rPr>
              <w:t>（天）</w:t>
            </w:r>
          </w:p>
        </w:tc>
        <w:tc>
          <w:tcPr>
            <w:tcW w:w="1628" w:type="dxa"/>
            <w:tcBorders>
              <w:top w:val="single" w:color="73C652" w:sz="8" w:space="0"/>
              <w:left w:val="dotted" w:color="auto" w:sz="8" w:space="0"/>
              <w:bottom w:val="single" w:color="73C652" w:sz="18" w:space="0"/>
              <w:right w:val="dotted" w:color="auto" w:sz="8" w:space="0"/>
            </w:tcBorders>
            <w:shd w:val="clear" w:color="auto" w:fill="97D57F"/>
            <w:noWrap w:val="0"/>
            <w:vAlign w:val="center"/>
          </w:tcPr>
          <w:p>
            <w:pPr>
              <w:spacing w:line="360" w:lineRule="auto"/>
              <w:jc w:val="center"/>
              <w:rPr>
                <w:rFonts w:hint="eastAsia" w:ascii="仿宋" w:hAnsi="仿宋" w:eastAsia="仿宋" w:cs="楷体"/>
                <w:b/>
                <w:color w:val="000000"/>
                <w:szCs w:val="21"/>
              </w:rPr>
            </w:pPr>
            <w:r>
              <w:rPr>
                <w:rFonts w:hint="eastAsia" w:ascii="仿宋" w:hAnsi="仿宋" w:eastAsia="仿宋" w:cs="楷体"/>
                <w:b/>
                <w:color w:val="000000"/>
                <w:szCs w:val="21"/>
              </w:rPr>
              <w:t>年薪</w:t>
            </w:r>
          </w:p>
        </w:tc>
        <w:tc>
          <w:tcPr>
            <w:tcW w:w="2127" w:type="dxa"/>
            <w:tcBorders>
              <w:top w:val="single" w:color="73C652" w:sz="8" w:space="0"/>
              <w:left w:val="dotted" w:color="auto" w:sz="8" w:space="0"/>
              <w:bottom w:val="single" w:color="73C652" w:sz="18" w:space="0"/>
              <w:right w:val="single" w:color="73C652" w:sz="8" w:space="0"/>
            </w:tcBorders>
            <w:shd w:val="clear" w:color="auto" w:fill="97D57F"/>
            <w:noWrap w:val="0"/>
            <w:vAlign w:val="center"/>
          </w:tcPr>
          <w:p>
            <w:pPr>
              <w:spacing w:line="360" w:lineRule="auto"/>
              <w:jc w:val="center"/>
              <w:rPr>
                <w:rFonts w:hint="eastAsia" w:ascii="仿宋" w:hAnsi="仿宋" w:eastAsia="仿宋" w:cs="楷体"/>
                <w:b/>
                <w:color w:val="000000"/>
                <w:szCs w:val="21"/>
              </w:rPr>
            </w:pPr>
            <w:r>
              <w:rPr>
                <w:rFonts w:hint="eastAsia" w:ascii="仿宋" w:hAnsi="仿宋" w:eastAsia="仿宋" w:cs="楷体"/>
                <w:b/>
                <w:color w:val="000000"/>
                <w:szCs w:val="21"/>
              </w:rPr>
              <w:t>成本</w:t>
            </w:r>
            <w:r>
              <w:rPr>
                <w:rFonts w:hint="eastAsia" w:ascii="仿宋" w:hAnsi="仿宋" w:eastAsia="仿宋" w:cs="楷体"/>
                <w:b/>
                <w:bCs w:val="0"/>
                <w:color w:val="000000"/>
                <w:sz w:val="21"/>
                <w:szCs w:val="21"/>
                <w:vertAlign w:val="baseline"/>
                <w:lang w:val="en-US" w:eastAsia="zh-CN"/>
              </w:rPr>
              <w:t>金额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2615" w:type="dxa"/>
            <w:tcBorders>
              <w:top w:val="single" w:color="73C652" w:sz="18" w:space="0"/>
              <w:left w:val="single" w:color="73C652" w:sz="8" w:space="0"/>
              <w:bottom w:val="dotted" w:color="auto" w:sz="8" w:space="0"/>
              <w:right w:val="dotted" w:color="auto" w:sz="8" w:space="0"/>
            </w:tcBorders>
            <w:shd w:val="clear" w:color="auto" w:fill="F1FAED"/>
            <w:noWrap w:val="0"/>
            <w:vAlign w:val="center"/>
          </w:tcPr>
          <w:p>
            <w:pPr>
              <w:spacing w:line="360" w:lineRule="auto"/>
              <w:jc w:val="center"/>
              <w:rPr>
                <w:rFonts w:hint="eastAsia" w:ascii="仿宋" w:hAnsi="仿宋" w:eastAsia="仿宋" w:cs="楷体"/>
                <w:bCs/>
                <w:color w:val="000000"/>
                <w:szCs w:val="21"/>
                <w:lang w:eastAsia="zh-CN"/>
              </w:rPr>
            </w:pPr>
            <w:r>
              <w:rPr>
                <w:rFonts w:hint="eastAsia" w:ascii="仿宋" w:hAnsi="仿宋" w:eastAsia="仿宋" w:cs="楷体"/>
                <w:bCs/>
                <w:color w:val="000000"/>
                <w:szCs w:val="21"/>
              </w:rPr>
              <w:t>1名</w:t>
            </w:r>
            <w:r>
              <w:rPr>
                <w:rFonts w:hint="eastAsia" w:ascii="仿宋" w:hAnsi="仿宋" w:eastAsia="仿宋" w:cs="楷体"/>
                <w:bCs/>
                <w:color w:val="000000"/>
                <w:szCs w:val="21"/>
                <w:lang w:eastAsia="zh-CN"/>
              </w:rPr>
              <w:t>技术总监</w:t>
            </w:r>
          </w:p>
        </w:tc>
        <w:tc>
          <w:tcPr>
            <w:tcW w:w="1272" w:type="dxa"/>
            <w:tcBorders>
              <w:top w:val="single" w:color="73C652" w:sz="18" w:space="0"/>
              <w:left w:val="dotted" w:color="auto" w:sz="8" w:space="0"/>
              <w:bottom w:val="dotted" w:color="auto" w:sz="8" w:space="0"/>
              <w:right w:val="dotted" w:color="auto" w:sz="8" w:space="0"/>
            </w:tcBorders>
            <w:shd w:val="clear" w:color="auto" w:fill="CEECC3"/>
            <w:noWrap w:val="0"/>
            <w:vAlign w:val="center"/>
          </w:tcPr>
          <w:p>
            <w:pPr>
              <w:spacing w:line="360" w:lineRule="auto"/>
              <w:jc w:val="center"/>
              <w:rPr>
                <w:rFonts w:hint="eastAsia" w:ascii="仿宋" w:hAnsi="仿宋" w:eastAsia="仿宋" w:cs="楷体"/>
                <w:bCs/>
                <w:color w:val="000000"/>
                <w:szCs w:val="21"/>
                <w:lang w:eastAsia="zh-CN"/>
              </w:rPr>
            </w:pPr>
            <w:r>
              <w:rPr>
                <w:rFonts w:hint="eastAsia" w:ascii="仿宋" w:hAnsi="仿宋" w:eastAsia="仿宋" w:cs="楷体"/>
                <w:bCs/>
                <w:color w:val="000000"/>
                <w:szCs w:val="21"/>
                <w:lang w:val="en-US" w:eastAsia="zh-CN"/>
              </w:rPr>
              <w:t>7</w:t>
            </w:r>
          </w:p>
        </w:tc>
        <w:tc>
          <w:tcPr>
            <w:tcW w:w="1628" w:type="dxa"/>
            <w:tcBorders>
              <w:top w:val="single" w:color="73C652" w:sz="18" w:space="0"/>
              <w:left w:val="dotted" w:color="auto" w:sz="8" w:space="0"/>
              <w:bottom w:val="dotted" w:color="auto" w:sz="8" w:space="0"/>
              <w:right w:val="dotted" w:color="auto" w:sz="8" w:space="0"/>
            </w:tcBorders>
            <w:shd w:val="clear" w:color="auto" w:fill="F1FAED"/>
            <w:noWrap w:val="0"/>
            <w:vAlign w:val="center"/>
          </w:tcPr>
          <w:p>
            <w:pPr>
              <w:spacing w:line="360" w:lineRule="auto"/>
              <w:jc w:val="center"/>
              <w:rPr>
                <w:rFonts w:ascii="仿宋" w:hAnsi="仿宋" w:eastAsia="仿宋" w:cs="楷体"/>
                <w:bCs/>
                <w:color w:val="000000"/>
                <w:szCs w:val="21"/>
              </w:rPr>
            </w:pPr>
            <w:r>
              <w:rPr>
                <w:rFonts w:hint="eastAsia" w:ascii="仿宋" w:hAnsi="仿宋" w:eastAsia="仿宋" w:cs="楷体"/>
                <w:bCs/>
                <w:color w:val="000000"/>
                <w:szCs w:val="21"/>
              </w:rPr>
              <w:t>15万元</w:t>
            </w:r>
          </w:p>
        </w:tc>
        <w:tc>
          <w:tcPr>
            <w:tcW w:w="2127" w:type="dxa"/>
            <w:tcBorders>
              <w:top w:val="single" w:color="73C652" w:sz="18" w:space="0"/>
              <w:left w:val="dotted" w:color="auto" w:sz="8" w:space="0"/>
              <w:bottom w:val="dotted" w:color="auto" w:sz="8" w:space="0"/>
              <w:right w:val="single" w:color="73C652" w:sz="8" w:space="0"/>
            </w:tcBorders>
            <w:shd w:val="clear" w:color="auto" w:fill="CEECC3"/>
            <w:noWrap w:val="0"/>
            <w:vAlign w:val="center"/>
          </w:tcPr>
          <w:p>
            <w:pPr>
              <w:spacing w:line="360" w:lineRule="auto"/>
              <w:jc w:val="center"/>
              <w:rPr>
                <w:rFonts w:hint="eastAsia" w:ascii="仿宋" w:hAnsi="仿宋" w:eastAsia="仿宋" w:cs="楷体"/>
                <w:bCs/>
                <w:color w:val="000000"/>
                <w:szCs w:val="21"/>
              </w:rPr>
            </w:pPr>
            <w:r>
              <w:rPr>
                <w:rFonts w:hint="eastAsia" w:ascii="仿宋" w:hAnsi="仿宋" w:eastAsia="仿宋" w:cs="楷体"/>
                <w:bCs/>
                <w:color w:val="000000"/>
                <w:szCs w:val="21"/>
                <w:lang w:val="en-US" w:eastAsia="zh-CN"/>
              </w:rPr>
              <w:t>4</w:t>
            </w:r>
            <w:r>
              <w:rPr>
                <w:rFonts w:hint="eastAsia" w:ascii="仿宋" w:hAnsi="仿宋" w:eastAsia="仿宋" w:cs="楷体"/>
                <w:bCs/>
                <w:color w:val="000000"/>
                <w:szCs w:val="21"/>
              </w:rPr>
              <w:t>,</w:t>
            </w:r>
            <w:r>
              <w:rPr>
                <w:rFonts w:hint="eastAsia" w:ascii="仿宋" w:hAnsi="仿宋" w:eastAsia="仿宋" w:cs="楷体"/>
                <w:bCs/>
                <w:color w:val="000000"/>
                <w:szCs w:val="21"/>
                <w:lang w:val="en-US" w:eastAsia="zh-CN"/>
              </w:rPr>
              <w:t>2</w:t>
            </w:r>
            <w:r>
              <w:rPr>
                <w:rFonts w:hint="eastAsia" w:ascii="仿宋" w:hAnsi="仿宋" w:eastAsia="仿宋" w:cs="楷体"/>
                <w:bCs/>
                <w:color w:val="000000"/>
                <w:szCs w:val="21"/>
              </w:rPr>
              <w:t>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615" w:type="dxa"/>
            <w:tcBorders>
              <w:top w:val="dotted" w:color="auto" w:sz="8" w:space="0"/>
              <w:left w:val="single" w:color="73C652" w:sz="8" w:space="0"/>
              <w:bottom w:val="dotted" w:color="auto" w:sz="8" w:space="0"/>
              <w:right w:val="dotted" w:color="auto" w:sz="8" w:space="0"/>
            </w:tcBorders>
            <w:shd w:val="clear" w:color="auto" w:fill="F1FAED"/>
            <w:noWrap w:val="0"/>
            <w:vAlign w:val="center"/>
          </w:tcPr>
          <w:p>
            <w:pPr>
              <w:spacing w:line="360" w:lineRule="auto"/>
              <w:jc w:val="center"/>
              <w:rPr>
                <w:rFonts w:ascii="仿宋" w:hAnsi="仿宋" w:eastAsia="仿宋" w:cs="楷体"/>
                <w:bCs/>
                <w:color w:val="000000"/>
                <w:szCs w:val="21"/>
              </w:rPr>
            </w:pPr>
            <w:r>
              <w:rPr>
                <w:rFonts w:hint="eastAsia" w:ascii="仿宋" w:hAnsi="仿宋" w:eastAsia="仿宋" w:cs="楷体"/>
                <w:bCs/>
                <w:color w:val="000000"/>
                <w:szCs w:val="21"/>
                <w:lang w:val="en-US" w:eastAsia="zh-CN"/>
              </w:rPr>
              <w:t>2</w:t>
            </w:r>
            <w:r>
              <w:rPr>
                <w:rFonts w:hint="eastAsia" w:ascii="仿宋" w:hAnsi="仿宋" w:eastAsia="仿宋" w:cs="楷体"/>
                <w:bCs/>
                <w:color w:val="000000"/>
                <w:szCs w:val="21"/>
              </w:rPr>
              <w:t>名土地估价师</w:t>
            </w:r>
          </w:p>
        </w:tc>
        <w:tc>
          <w:tcPr>
            <w:tcW w:w="1272" w:type="dxa"/>
            <w:tcBorders>
              <w:top w:val="dotted" w:color="auto" w:sz="8" w:space="0"/>
              <w:left w:val="dotted" w:color="auto" w:sz="8" w:space="0"/>
              <w:bottom w:val="dotted" w:color="auto" w:sz="8" w:space="0"/>
              <w:right w:val="dotted" w:color="auto" w:sz="8" w:space="0"/>
            </w:tcBorders>
            <w:shd w:val="clear" w:color="auto" w:fill="FFFFFF"/>
            <w:noWrap w:val="0"/>
            <w:vAlign w:val="center"/>
          </w:tcPr>
          <w:p>
            <w:pPr>
              <w:spacing w:line="360" w:lineRule="auto"/>
              <w:jc w:val="center"/>
              <w:rPr>
                <w:rFonts w:hint="eastAsia" w:ascii="仿宋" w:hAnsi="仿宋" w:eastAsia="仿宋" w:cs="楷体"/>
                <w:bCs/>
                <w:color w:val="000000"/>
                <w:szCs w:val="21"/>
                <w:lang w:eastAsia="zh-CN"/>
              </w:rPr>
            </w:pPr>
            <w:r>
              <w:rPr>
                <w:rFonts w:hint="eastAsia" w:ascii="仿宋" w:hAnsi="仿宋" w:eastAsia="仿宋" w:cs="楷体"/>
                <w:bCs/>
                <w:color w:val="000000"/>
                <w:szCs w:val="21"/>
                <w:lang w:val="en-US" w:eastAsia="zh-CN"/>
              </w:rPr>
              <w:t>7</w:t>
            </w:r>
          </w:p>
        </w:tc>
        <w:tc>
          <w:tcPr>
            <w:tcW w:w="1628" w:type="dxa"/>
            <w:tcBorders>
              <w:top w:val="dotted" w:color="auto" w:sz="8" w:space="0"/>
              <w:left w:val="dotted" w:color="auto" w:sz="8" w:space="0"/>
              <w:bottom w:val="dotted" w:color="auto" w:sz="8" w:space="0"/>
              <w:right w:val="dotted" w:color="auto" w:sz="8" w:space="0"/>
            </w:tcBorders>
            <w:shd w:val="clear" w:color="auto" w:fill="F1FAED"/>
            <w:noWrap w:val="0"/>
            <w:vAlign w:val="center"/>
          </w:tcPr>
          <w:p>
            <w:pPr>
              <w:spacing w:line="360" w:lineRule="auto"/>
              <w:jc w:val="center"/>
              <w:rPr>
                <w:rFonts w:hint="eastAsia" w:ascii="仿宋" w:hAnsi="仿宋" w:eastAsia="仿宋" w:cs="楷体"/>
                <w:bCs/>
                <w:color w:val="000000"/>
                <w:szCs w:val="21"/>
              </w:rPr>
            </w:pPr>
            <w:r>
              <w:rPr>
                <w:rFonts w:hint="eastAsia" w:ascii="仿宋" w:hAnsi="仿宋" w:eastAsia="仿宋" w:cs="楷体"/>
                <w:bCs/>
                <w:color w:val="000000"/>
                <w:szCs w:val="21"/>
              </w:rPr>
              <w:t>10万元</w:t>
            </w:r>
          </w:p>
        </w:tc>
        <w:tc>
          <w:tcPr>
            <w:tcW w:w="2127" w:type="dxa"/>
            <w:tcBorders>
              <w:top w:val="dotted" w:color="auto" w:sz="8" w:space="0"/>
              <w:left w:val="dotted" w:color="auto" w:sz="8" w:space="0"/>
              <w:bottom w:val="dotted" w:color="auto" w:sz="8" w:space="0"/>
              <w:right w:val="single" w:color="73C652" w:sz="8" w:space="0"/>
            </w:tcBorders>
            <w:shd w:val="clear" w:color="auto" w:fill="FFFFFF"/>
            <w:noWrap w:val="0"/>
            <w:vAlign w:val="center"/>
          </w:tcPr>
          <w:p>
            <w:pPr>
              <w:spacing w:line="360" w:lineRule="auto"/>
              <w:jc w:val="center"/>
              <w:rPr>
                <w:rFonts w:ascii="仿宋" w:hAnsi="仿宋" w:eastAsia="仿宋" w:cs="楷体"/>
                <w:bCs/>
                <w:color w:val="000000"/>
                <w:szCs w:val="21"/>
              </w:rPr>
            </w:pPr>
            <w:r>
              <w:rPr>
                <w:rFonts w:hint="eastAsia" w:ascii="仿宋" w:hAnsi="仿宋" w:eastAsia="仿宋" w:cs="楷体"/>
                <w:bCs/>
                <w:color w:val="000000"/>
                <w:szCs w:val="21"/>
                <w:lang w:val="en-US" w:eastAsia="zh-CN"/>
              </w:rPr>
              <w:t>5,6</w:t>
            </w:r>
            <w:r>
              <w:rPr>
                <w:rFonts w:hint="eastAsia" w:ascii="仿宋" w:hAnsi="仿宋" w:eastAsia="仿宋" w:cs="楷体"/>
                <w:bCs/>
                <w:color w:val="000000"/>
                <w:szCs w:val="21"/>
              </w:rPr>
              <w:t>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615" w:type="dxa"/>
            <w:tcBorders>
              <w:top w:val="dotted" w:color="auto" w:sz="8" w:space="0"/>
              <w:left w:val="single" w:color="73C652" w:sz="8" w:space="0"/>
              <w:bottom w:val="dotted" w:color="auto" w:sz="8" w:space="0"/>
              <w:right w:val="dotted" w:color="auto" w:sz="8" w:space="0"/>
            </w:tcBorders>
            <w:shd w:val="clear" w:color="auto" w:fill="F1FAED"/>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1名估价师助理人工成本</w:t>
            </w:r>
          </w:p>
        </w:tc>
        <w:tc>
          <w:tcPr>
            <w:tcW w:w="1272" w:type="dxa"/>
            <w:tcBorders>
              <w:top w:val="dotted" w:color="auto" w:sz="8" w:space="0"/>
              <w:left w:val="dotted" w:color="auto" w:sz="8" w:space="0"/>
              <w:bottom w:val="dotted" w:color="auto" w:sz="8" w:space="0"/>
              <w:right w:val="dotted" w:color="auto" w:sz="8" w:space="0"/>
            </w:tcBorders>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7</w:t>
            </w:r>
          </w:p>
        </w:tc>
        <w:tc>
          <w:tcPr>
            <w:tcW w:w="1628" w:type="dxa"/>
            <w:tcBorders>
              <w:top w:val="dotted" w:color="auto" w:sz="8" w:space="0"/>
              <w:left w:val="dotted" w:color="auto" w:sz="8" w:space="0"/>
              <w:bottom w:val="dotted" w:color="auto" w:sz="8" w:space="0"/>
              <w:right w:val="dotted" w:color="auto" w:sz="8" w:space="0"/>
            </w:tcBorders>
            <w:shd w:val="clear" w:color="auto" w:fill="F1FAED"/>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6万元</w:t>
            </w:r>
          </w:p>
        </w:tc>
        <w:tc>
          <w:tcPr>
            <w:tcW w:w="2127" w:type="dxa"/>
            <w:tcBorders>
              <w:top w:val="dotted" w:color="auto" w:sz="8" w:space="0"/>
              <w:left w:val="dotted" w:color="auto" w:sz="8" w:space="0"/>
              <w:bottom w:val="dotted" w:color="auto" w:sz="8" w:space="0"/>
              <w:right w:val="single" w:color="73C652" w:sz="8" w:space="0"/>
            </w:tcBorders>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1,680元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15" w:type="dxa"/>
            <w:tcBorders>
              <w:top w:val="dotted" w:color="auto" w:sz="8" w:space="0"/>
              <w:left w:val="single" w:color="73C652" w:sz="8" w:space="0"/>
              <w:bottom w:val="dotted" w:color="auto" w:sz="8" w:space="0"/>
              <w:right w:val="dotted" w:color="auto" w:sz="8" w:space="0"/>
            </w:tcBorders>
            <w:shd w:val="clear" w:color="auto" w:fill="F1FAED"/>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Cs w:val="21"/>
                <w:lang w:eastAsia="zh-CN"/>
              </w:rPr>
            </w:pPr>
            <w:r>
              <w:rPr>
                <w:rFonts w:hint="eastAsia" w:ascii="仿宋" w:hAnsi="仿宋" w:eastAsia="仿宋" w:cs="楷体"/>
                <w:bCs/>
                <w:color w:val="000000"/>
                <w:sz w:val="21"/>
                <w:szCs w:val="21"/>
                <w:vertAlign w:val="baseline"/>
                <w:lang w:val="en-US" w:eastAsia="zh-CN"/>
              </w:rPr>
              <w:t>交通费、住宿费、餐费</w:t>
            </w:r>
          </w:p>
        </w:tc>
        <w:tc>
          <w:tcPr>
            <w:tcW w:w="1272" w:type="dxa"/>
            <w:tcBorders>
              <w:top w:val="dotted" w:color="auto" w:sz="8" w:space="0"/>
              <w:left w:val="dotted" w:color="auto" w:sz="8" w:space="0"/>
              <w:bottom w:val="dotted" w:color="auto" w:sz="8" w:space="0"/>
              <w:right w:val="dotted" w:color="auto" w:sz="8" w:space="0"/>
            </w:tcBorders>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Cs w:val="21"/>
                <w:lang w:val="en-US" w:eastAsia="zh-CN"/>
              </w:rPr>
            </w:pPr>
            <w:r>
              <w:rPr>
                <w:rFonts w:hint="eastAsia" w:ascii="仿宋" w:hAnsi="仿宋" w:eastAsia="仿宋" w:cs="楷体"/>
                <w:bCs/>
                <w:color w:val="000000"/>
                <w:sz w:val="21"/>
                <w:szCs w:val="21"/>
                <w:vertAlign w:val="baseline"/>
                <w:lang w:val="en-US" w:eastAsia="zh-CN"/>
              </w:rPr>
              <w:t>7</w:t>
            </w:r>
          </w:p>
        </w:tc>
        <w:tc>
          <w:tcPr>
            <w:tcW w:w="1628" w:type="dxa"/>
            <w:tcBorders>
              <w:top w:val="dotted" w:color="auto" w:sz="8" w:space="0"/>
              <w:left w:val="dotted" w:color="auto" w:sz="8" w:space="0"/>
              <w:bottom w:val="dotted" w:color="auto" w:sz="8" w:space="0"/>
              <w:right w:val="dotted" w:color="auto" w:sz="8" w:space="0"/>
            </w:tcBorders>
            <w:shd w:val="clear" w:color="auto" w:fill="F1FAED"/>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Cs w:val="21"/>
              </w:rPr>
            </w:pPr>
            <w:r>
              <w:rPr>
                <w:rFonts w:hint="eastAsia" w:ascii="仿宋" w:hAnsi="仿宋" w:eastAsia="仿宋" w:cs="楷体"/>
                <w:bCs/>
                <w:color w:val="000000"/>
                <w:sz w:val="21"/>
                <w:szCs w:val="21"/>
                <w:vertAlign w:val="baseline"/>
                <w:lang w:val="en-US" w:eastAsia="zh-CN"/>
              </w:rPr>
              <w:t>350元每人/天</w:t>
            </w:r>
          </w:p>
        </w:tc>
        <w:tc>
          <w:tcPr>
            <w:tcW w:w="2127" w:type="dxa"/>
            <w:tcBorders>
              <w:top w:val="dotted" w:color="auto" w:sz="8" w:space="0"/>
              <w:left w:val="dotted" w:color="auto" w:sz="8" w:space="0"/>
              <w:bottom w:val="dotted" w:color="auto" w:sz="8" w:space="0"/>
              <w:right w:val="single" w:color="73C652" w:sz="8" w:space="0"/>
            </w:tcBorders>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szCs w:val="21"/>
                <w:lang w:val="en-US" w:eastAsia="zh-CN"/>
              </w:rPr>
            </w:pPr>
            <w:r>
              <w:rPr>
                <w:rFonts w:hint="eastAsia" w:ascii="仿宋" w:hAnsi="仿宋" w:eastAsia="仿宋" w:cs="楷体"/>
                <w:bCs/>
                <w:color w:val="000000"/>
                <w:sz w:val="21"/>
                <w:szCs w:val="21"/>
                <w:vertAlign w:val="baseline"/>
                <w:lang w:val="en-US" w:eastAsia="zh-CN"/>
              </w:rPr>
              <w:t>9,800元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15" w:type="dxa"/>
            <w:tcBorders>
              <w:top w:val="dotted" w:color="auto" w:sz="8" w:space="0"/>
              <w:left w:val="single" w:color="73C652" w:sz="8" w:space="0"/>
              <w:bottom w:val="dotted" w:color="auto" w:sz="8" w:space="0"/>
              <w:right w:val="dotted" w:color="auto" w:sz="8" w:space="0"/>
            </w:tcBorders>
            <w:shd w:val="clear" w:color="auto" w:fill="F1FAED"/>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打印费</w:t>
            </w:r>
          </w:p>
        </w:tc>
        <w:tc>
          <w:tcPr>
            <w:tcW w:w="1272" w:type="dxa"/>
            <w:tcBorders>
              <w:top w:val="dotted" w:color="auto" w:sz="8" w:space="0"/>
              <w:left w:val="dotted" w:color="auto" w:sz="8" w:space="0"/>
              <w:bottom w:val="dotted" w:color="auto" w:sz="8" w:space="0"/>
              <w:right w:val="dotted" w:color="auto" w:sz="8" w:space="0"/>
            </w:tcBorders>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p>
        </w:tc>
        <w:tc>
          <w:tcPr>
            <w:tcW w:w="1628" w:type="dxa"/>
            <w:tcBorders>
              <w:top w:val="dotted" w:color="auto" w:sz="8" w:space="0"/>
              <w:left w:val="dotted" w:color="auto" w:sz="8" w:space="0"/>
              <w:bottom w:val="dotted" w:color="auto" w:sz="8" w:space="0"/>
              <w:right w:val="dotted" w:color="auto" w:sz="8" w:space="0"/>
            </w:tcBorders>
            <w:shd w:val="clear" w:color="auto" w:fill="F1FAED"/>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p>
        </w:tc>
        <w:tc>
          <w:tcPr>
            <w:tcW w:w="2127" w:type="dxa"/>
            <w:tcBorders>
              <w:top w:val="dotted" w:color="auto" w:sz="8" w:space="0"/>
              <w:left w:val="dotted" w:color="auto" w:sz="8" w:space="0"/>
              <w:bottom w:val="dotted" w:color="auto" w:sz="8" w:space="0"/>
              <w:right w:val="single" w:color="73C652" w:sz="8" w:space="0"/>
            </w:tcBorders>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2615" w:type="dxa"/>
            <w:tcBorders>
              <w:top w:val="dotted" w:color="auto" w:sz="8" w:space="0"/>
              <w:left w:val="single" w:color="73C652" w:sz="8" w:space="0"/>
              <w:bottom w:val="single" w:color="73C652" w:sz="8" w:space="0"/>
              <w:right w:val="dotted" w:color="auto" w:sz="8" w:space="0"/>
            </w:tcBorders>
            <w:shd w:val="clear" w:color="auto" w:fill="97D57F"/>
            <w:noWrap w:val="0"/>
            <w:vAlign w:val="center"/>
          </w:tcPr>
          <w:p>
            <w:pPr>
              <w:spacing w:line="360" w:lineRule="auto"/>
              <w:jc w:val="center"/>
              <w:rPr>
                <w:rFonts w:hint="eastAsia" w:ascii="仿宋" w:hAnsi="仿宋" w:eastAsia="仿宋" w:cs="楷体"/>
                <w:b/>
                <w:bCs w:val="0"/>
                <w:color w:val="000000"/>
                <w:szCs w:val="21"/>
                <w:lang w:eastAsia="zh-CN"/>
              </w:rPr>
            </w:pPr>
            <w:r>
              <w:rPr>
                <w:rFonts w:hint="eastAsia" w:ascii="仿宋" w:hAnsi="仿宋" w:eastAsia="仿宋" w:cs="楷体"/>
                <w:b/>
                <w:bCs w:val="0"/>
                <w:color w:val="000000"/>
                <w:szCs w:val="21"/>
                <w:lang w:eastAsia="zh-CN"/>
              </w:rPr>
              <w:t>合计</w:t>
            </w:r>
          </w:p>
        </w:tc>
        <w:tc>
          <w:tcPr>
            <w:tcW w:w="1272" w:type="dxa"/>
            <w:tcBorders>
              <w:top w:val="dotted" w:color="auto" w:sz="8" w:space="0"/>
              <w:left w:val="dotted" w:color="auto" w:sz="8" w:space="0"/>
              <w:bottom w:val="single" w:color="73C652" w:sz="8" w:space="0"/>
              <w:right w:val="dotted" w:color="auto" w:sz="8" w:space="0"/>
            </w:tcBorders>
            <w:shd w:val="clear" w:color="auto" w:fill="97D57F"/>
            <w:noWrap w:val="0"/>
            <w:vAlign w:val="center"/>
          </w:tcPr>
          <w:p>
            <w:pPr>
              <w:spacing w:line="360" w:lineRule="auto"/>
              <w:jc w:val="center"/>
              <w:rPr>
                <w:rFonts w:hint="eastAsia" w:ascii="仿宋" w:hAnsi="仿宋" w:eastAsia="仿宋" w:cs="楷体"/>
                <w:b/>
                <w:bCs w:val="0"/>
                <w:color w:val="000000"/>
                <w:szCs w:val="21"/>
                <w:lang w:val="en-US" w:eastAsia="zh-CN"/>
              </w:rPr>
            </w:pPr>
          </w:p>
        </w:tc>
        <w:tc>
          <w:tcPr>
            <w:tcW w:w="1628" w:type="dxa"/>
            <w:tcBorders>
              <w:top w:val="dotted" w:color="auto" w:sz="8" w:space="0"/>
              <w:left w:val="dotted" w:color="auto" w:sz="8" w:space="0"/>
              <w:bottom w:val="single" w:color="73C652" w:sz="8" w:space="0"/>
              <w:right w:val="dotted" w:color="auto" w:sz="8" w:space="0"/>
            </w:tcBorders>
            <w:shd w:val="clear" w:color="auto" w:fill="97D57F"/>
            <w:noWrap w:val="0"/>
            <w:vAlign w:val="center"/>
          </w:tcPr>
          <w:p>
            <w:pPr>
              <w:spacing w:line="360" w:lineRule="auto"/>
              <w:jc w:val="center"/>
              <w:rPr>
                <w:rFonts w:hint="eastAsia" w:ascii="仿宋" w:hAnsi="仿宋" w:eastAsia="仿宋" w:cs="楷体"/>
                <w:b/>
                <w:bCs w:val="0"/>
                <w:color w:val="000000"/>
                <w:szCs w:val="21"/>
              </w:rPr>
            </w:pPr>
          </w:p>
        </w:tc>
        <w:tc>
          <w:tcPr>
            <w:tcW w:w="2127" w:type="dxa"/>
            <w:tcBorders>
              <w:top w:val="dotted" w:color="auto" w:sz="8" w:space="0"/>
              <w:left w:val="dotted" w:color="auto" w:sz="8" w:space="0"/>
              <w:bottom w:val="single" w:color="73C652" w:sz="8" w:space="0"/>
              <w:right w:val="single" w:color="73C652" w:sz="8" w:space="0"/>
            </w:tcBorders>
            <w:shd w:val="clear" w:color="auto" w:fill="97D57F"/>
            <w:noWrap w:val="0"/>
            <w:vAlign w:val="center"/>
          </w:tcPr>
          <w:p>
            <w:pPr>
              <w:spacing w:line="360" w:lineRule="auto"/>
              <w:jc w:val="center"/>
              <w:rPr>
                <w:rFonts w:hint="default" w:ascii="仿宋" w:hAnsi="仿宋" w:eastAsia="仿宋" w:cs="楷体"/>
                <w:b/>
                <w:bCs w:val="0"/>
                <w:color w:val="000000"/>
                <w:szCs w:val="21"/>
                <w:lang w:val="en-US" w:eastAsia="zh-CN"/>
              </w:rPr>
            </w:pPr>
            <w:r>
              <w:rPr>
                <w:rFonts w:hint="eastAsia" w:ascii="仿宋" w:hAnsi="仿宋" w:eastAsia="仿宋" w:cs="楷体"/>
                <w:b/>
                <w:bCs w:val="0"/>
                <w:color w:val="000000"/>
                <w:szCs w:val="21"/>
                <w:lang w:val="en-US" w:eastAsia="zh-CN"/>
              </w:rPr>
              <w:t>22,280</w:t>
            </w:r>
            <w:r>
              <w:rPr>
                <w:rFonts w:hint="eastAsia" w:ascii="仿宋" w:hAnsi="仿宋" w:eastAsia="仿宋" w:cs="楷体"/>
                <w:b/>
                <w:bCs w:val="0"/>
                <w:color w:val="000000"/>
                <w:szCs w:val="21"/>
              </w:rPr>
              <w:t>元</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仿宋" w:hAnsi="仿宋" w:eastAsia="仿宋" w:cs="楷体"/>
          <w:bCs/>
          <w:sz w:val="24"/>
          <w:szCs w:val="24"/>
          <w:lang w:val="en-US" w:eastAsia="zh-CN"/>
        </w:rPr>
      </w:pPr>
      <w:r>
        <w:rPr>
          <w:rFonts w:hint="eastAsia" w:ascii="仿宋" w:hAnsi="仿宋" w:eastAsia="仿宋" w:cs="楷体"/>
          <w:bCs/>
          <w:sz w:val="24"/>
          <w:szCs w:val="24"/>
          <w:lang w:val="en-US" w:eastAsia="zh-CN"/>
        </w:rPr>
        <w:t>6、听证会成本</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根据</w:t>
      </w:r>
      <w:r>
        <w:rPr>
          <w:rFonts w:hint="default" w:ascii="仿宋" w:hAnsi="仿宋" w:eastAsia="仿宋" w:cs="楷体"/>
          <w:bCs/>
          <w:sz w:val="24"/>
          <w:szCs w:val="24"/>
          <w:lang w:val="en-US" w:eastAsia="zh-CN"/>
        </w:rPr>
        <w:t>《自然资源听证规定》</w:t>
      </w:r>
      <w:r>
        <w:rPr>
          <w:rFonts w:hint="eastAsia" w:ascii="仿宋" w:hAnsi="仿宋" w:eastAsia="仿宋" w:cs="楷体"/>
          <w:bCs/>
          <w:sz w:val="24"/>
          <w:szCs w:val="24"/>
          <w:lang w:val="en-US" w:eastAsia="zh-CN"/>
        </w:rPr>
        <w:t>（2004年1月9日国土资源部令第22号发布，根据2020年3月20日自然资源部令第6号修订）第十二条规定：拟定或者修改基准地价主管部门应当组织听证。根据听证会的实际操作流程确定听证会的主要工作内容有：听证会材料准备（含报告文本、图件、签到表等）；撰写听证会汇报PPT；听证会现场布置；听证会现场汇报及答疑；根据听证会合理性的建议对报告文本、图件等进行修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
          <w:sz w:val="24"/>
          <w:lang w:val="en-US" w:eastAsia="zh-CN"/>
        </w:rPr>
      </w:pPr>
      <w:r>
        <w:rPr>
          <w:rFonts w:hint="eastAsia" w:ascii="仿宋" w:hAnsi="仿宋" w:eastAsia="仿宋" w:cs="楷体"/>
          <w:bCs/>
          <w:sz w:val="24"/>
          <w:szCs w:val="24"/>
          <w:lang w:eastAsia="zh-CN"/>
        </w:rPr>
        <w:t>此项工作需1名技术总监及2名土地估价师、1名估价师助理</w:t>
      </w:r>
      <w:r>
        <w:rPr>
          <w:rFonts w:hint="eastAsia" w:ascii="仿宋" w:hAnsi="仿宋" w:eastAsia="仿宋" w:cs="楷体"/>
          <w:bCs/>
          <w:sz w:val="24"/>
          <w:szCs w:val="24"/>
          <w:lang w:val="en-US" w:eastAsia="zh-CN"/>
        </w:rPr>
        <w:t>3个工作日完成，</w:t>
      </w:r>
      <w:r>
        <w:rPr>
          <w:rFonts w:hint="eastAsia" w:ascii="仿宋" w:hAnsi="仿宋" w:eastAsia="仿宋" w:cs="楷体"/>
          <w:bCs/>
          <w:sz w:val="24"/>
          <w:szCs w:val="24"/>
        </w:rPr>
        <w:t>具体成本详见下表：</w:t>
      </w:r>
      <w:r>
        <w:rPr>
          <w:rFonts w:ascii="仿宋" w:hAnsi="仿宋" w:eastAsia="仿宋" w:cs="楷体"/>
          <w:b/>
          <w:sz w:val="24"/>
        </w:rPr>
        <w:t xml:space="preserve">            </w:t>
      </w:r>
      <w:r>
        <w:rPr>
          <w:rFonts w:hint="eastAsia" w:ascii="仿宋" w:hAnsi="仿宋" w:eastAsia="仿宋" w:cs="楷体"/>
          <w:b/>
          <w:sz w:val="24"/>
          <w:lang w:eastAsia="zh-CN"/>
        </w:rPr>
        <w:t xml:space="preserve">  </w:t>
      </w:r>
      <w:r>
        <w:rPr>
          <w:rFonts w:hint="eastAsia" w:ascii="仿宋" w:hAnsi="仿宋" w:eastAsia="仿宋" w:cs="楷体"/>
          <w:b/>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0" w:lineRule="atLeast"/>
        <w:ind w:firstLine="3855" w:firstLineChars="1600"/>
        <w:jc w:val="left"/>
        <w:textAlignment w:val="auto"/>
        <w:rPr>
          <w:rFonts w:hint="eastAsia" w:ascii="仿宋" w:hAnsi="仿宋" w:eastAsia="仿宋" w:cs="楷体"/>
          <w:b/>
          <w:sz w:val="24"/>
          <w:lang w:eastAsia="zh-CN"/>
        </w:rPr>
      </w:pPr>
      <w:r>
        <w:rPr>
          <w:rFonts w:hint="eastAsia" w:ascii="仿宋" w:hAnsi="仿宋" w:eastAsia="仿宋" w:cs="楷体"/>
          <w:b/>
          <w:sz w:val="24"/>
          <w:lang w:val="en-US" w:eastAsia="zh-CN"/>
        </w:rPr>
        <w:t>听证会</w:t>
      </w:r>
      <w:r>
        <w:rPr>
          <w:rFonts w:hint="eastAsia" w:ascii="仿宋" w:hAnsi="仿宋" w:eastAsia="仿宋" w:cs="楷体"/>
          <w:b/>
          <w:sz w:val="24"/>
          <w:lang w:eastAsia="zh-CN"/>
        </w:rPr>
        <w:t>成本测算表</w:t>
      </w:r>
      <w:r>
        <w:rPr>
          <w:rFonts w:hint="eastAsia" w:ascii="仿宋" w:hAnsi="仿宋" w:eastAsia="仿宋" w:cs="楷体"/>
          <w:b/>
          <w:sz w:val="24"/>
        </w:rPr>
        <w:t xml:space="preserve"> </w:t>
      </w:r>
      <w:r>
        <w:rPr>
          <w:rFonts w:ascii="仿宋" w:hAnsi="仿宋" w:eastAsia="仿宋" w:cs="楷体"/>
          <w:b/>
          <w:sz w:val="24"/>
        </w:rPr>
        <w:t xml:space="preserve">               </w:t>
      </w:r>
      <w:r>
        <w:rPr>
          <w:rFonts w:ascii="仿宋" w:hAnsi="仿宋" w:eastAsia="仿宋" w:cs="楷体"/>
          <w:sz w:val="24"/>
        </w:rPr>
        <w:t xml:space="preserve"> </w:t>
      </w:r>
      <w:r>
        <w:rPr>
          <w:rFonts w:hint="eastAsia" w:ascii="仿宋" w:hAnsi="仿宋" w:eastAsia="仿宋" w:cs="仿宋"/>
          <w:b w:val="0"/>
          <w:bCs/>
          <w:color w:val="000000"/>
          <w:sz w:val="21"/>
          <w:szCs w:val="21"/>
          <w:lang w:val="en-US" w:eastAsia="zh-CN"/>
        </w:rPr>
        <w:t>表13</w:t>
      </w:r>
    </w:p>
    <w:tbl>
      <w:tblPr>
        <w:tblStyle w:val="8"/>
        <w:tblpPr w:leftFromText="180" w:rightFromText="180" w:vertAnchor="text" w:horzAnchor="page" w:tblpX="2532" w:tblpY="153"/>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87"/>
        <w:gridCol w:w="1243"/>
        <w:gridCol w:w="1336"/>
        <w:gridCol w:w="2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787" w:type="dxa"/>
            <w:tcBorders>
              <w:top w:val="single" w:color="73C652" w:sz="8" w:space="0"/>
              <w:left w:val="single" w:color="73C652"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人员组成</w:t>
            </w:r>
          </w:p>
        </w:tc>
        <w:tc>
          <w:tcPr>
            <w:tcW w:w="1243"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工作日（天）</w:t>
            </w:r>
          </w:p>
        </w:tc>
        <w:tc>
          <w:tcPr>
            <w:tcW w:w="1336"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年薪/成本</w:t>
            </w:r>
          </w:p>
        </w:tc>
        <w:tc>
          <w:tcPr>
            <w:tcW w:w="2276" w:type="dxa"/>
            <w:tcBorders>
              <w:top w:val="single" w:color="73C652" w:sz="8" w:space="0"/>
              <w:left w:val="dotted" w:color="auto" w:sz="8" w:space="0"/>
              <w:bottom w:val="single" w:color="73C652" w:sz="1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成本金额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787" w:type="dxa"/>
            <w:tcBorders>
              <w:top w:val="single" w:color="73C652" w:sz="1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1名技术总监人工成本</w:t>
            </w:r>
          </w:p>
        </w:tc>
        <w:tc>
          <w:tcPr>
            <w:tcW w:w="1243" w:type="dxa"/>
            <w:tcBorders>
              <w:top w:val="single" w:color="73C652" w:sz="1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3</w:t>
            </w:r>
          </w:p>
        </w:tc>
        <w:tc>
          <w:tcPr>
            <w:tcW w:w="1336" w:type="dxa"/>
            <w:tcBorders>
              <w:top w:val="single" w:color="73C652" w:sz="1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15万元</w:t>
            </w:r>
          </w:p>
        </w:tc>
        <w:tc>
          <w:tcPr>
            <w:tcW w:w="2276" w:type="dxa"/>
            <w:tcBorders>
              <w:top w:val="single" w:color="73C652" w:sz="1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1,800元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2787"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2名土地估价师人工成本</w:t>
            </w:r>
          </w:p>
        </w:tc>
        <w:tc>
          <w:tcPr>
            <w:tcW w:w="1243" w:type="dxa"/>
            <w:tcBorders>
              <w:top w:val="dotted" w:color="auto" w:sz="8" w:space="0"/>
              <w:left w:val="dotted" w:color="auto" w:sz="8" w:space="0"/>
              <w:bottom w:val="dotted" w:color="auto" w:sz="8" w:space="0"/>
              <w:right w:val="dotted" w:color="auto"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3</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10万元</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2.400元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787"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1名估价师助理人工成本</w:t>
            </w:r>
          </w:p>
        </w:tc>
        <w:tc>
          <w:tcPr>
            <w:tcW w:w="1243" w:type="dxa"/>
            <w:tcBorders>
              <w:top w:val="dotted" w:color="auto" w:sz="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3</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6万元</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720元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787"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交通费、住宿费、餐费</w:t>
            </w:r>
          </w:p>
        </w:tc>
        <w:tc>
          <w:tcPr>
            <w:tcW w:w="1243" w:type="dxa"/>
            <w:tcBorders>
              <w:top w:val="dotted" w:color="auto" w:sz="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350元每人/天</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1,400元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787"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打印费</w:t>
            </w:r>
          </w:p>
        </w:tc>
        <w:tc>
          <w:tcPr>
            <w:tcW w:w="1243" w:type="dxa"/>
            <w:tcBorders>
              <w:top w:val="dotted" w:color="auto" w:sz="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787" w:type="dxa"/>
            <w:tcBorders>
              <w:top w:val="dotted" w:color="auto" w:sz="8" w:space="0"/>
              <w:left w:val="single" w:color="73C652"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合计</w:t>
            </w:r>
          </w:p>
        </w:tc>
        <w:tc>
          <w:tcPr>
            <w:tcW w:w="1243"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1336"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2276" w:type="dxa"/>
            <w:tcBorders>
              <w:top w:val="dotted" w:color="auto" w:sz="8" w:space="0"/>
              <w:left w:val="dotted" w:color="auto" w:sz="8" w:space="0"/>
              <w:bottom w:val="single" w:color="73C652" w:sz="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8,320元</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仿宋" w:hAnsi="仿宋" w:eastAsia="仿宋" w:cs="楷体"/>
          <w:bCs/>
          <w:sz w:val="24"/>
          <w:szCs w:val="24"/>
          <w:lang w:val="en-US" w:eastAsia="zh-CN"/>
        </w:rPr>
      </w:pPr>
      <w:r>
        <w:rPr>
          <w:rFonts w:hint="eastAsia" w:ascii="仿宋" w:hAnsi="仿宋" w:eastAsia="仿宋" w:cs="楷体"/>
          <w:bCs/>
          <w:sz w:val="24"/>
          <w:szCs w:val="24"/>
          <w:lang w:val="en-US" w:eastAsia="zh-CN"/>
        </w:rPr>
        <w:t>7、成果验收成本</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根据《林地分等定级技术规范》（T/CREVA 3101-2021）、《林地估价技术规范》（T/CREVA 1101-2021）的规定，为保证定级和基准地价评估成果质量,定级和基准地价评估工作完成后，自然资源主管部门应按规定组织对定级和基准地价评估成果进行验收、备案。</w:t>
      </w:r>
    </w:p>
    <w:p>
      <w:pPr>
        <w:numPr>
          <w:ilvl w:val="0"/>
          <w:numId w:val="0"/>
        </w:numPr>
        <w:spacing w:line="360" w:lineRule="auto"/>
        <w:ind w:firstLine="480" w:firstLineChars="200"/>
        <w:jc w:val="left"/>
        <w:rPr>
          <w:rFonts w:hint="default" w:ascii="仿宋" w:hAnsi="仿宋" w:eastAsia="仿宋" w:cs="楷体"/>
          <w:bCs/>
          <w:sz w:val="24"/>
          <w:szCs w:val="24"/>
          <w:lang w:val="en-US" w:eastAsia="zh-CN"/>
        </w:rPr>
      </w:pPr>
      <w:r>
        <w:rPr>
          <w:rFonts w:hint="eastAsia" w:ascii="仿宋" w:hAnsi="仿宋" w:eastAsia="仿宋" w:cs="楷体"/>
          <w:bCs/>
          <w:sz w:val="24"/>
          <w:szCs w:val="24"/>
          <w:lang w:val="en-US" w:eastAsia="zh-CN"/>
        </w:rPr>
        <w:t>成果验收主要工作内容有：评审会材料准备（含报告文本、图件等）；撰写评审会汇报PPT；评审会现场布置；评审会现场汇报及答疑；根据评审专家的意见对报告文本、图件等进行修改；将最终通过专家评审的报告、图件、数据等成果进行备案。</w:t>
      </w:r>
    </w:p>
    <w:p>
      <w:pPr>
        <w:numPr>
          <w:ilvl w:val="0"/>
          <w:numId w:val="0"/>
        </w:numPr>
        <w:spacing w:line="360" w:lineRule="auto"/>
        <w:ind w:firstLine="480" w:firstLineChars="200"/>
        <w:jc w:val="left"/>
        <w:rPr>
          <w:rFonts w:hint="eastAsia" w:ascii="仿宋" w:hAnsi="仿宋" w:eastAsia="仿宋" w:cs="楷体"/>
          <w:bCs/>
          <w:sz w:val="24"/>
          <w:szCs w:val="24"/>
          <w:lang w:eastAsia="zh-CN"/>
        </w:rPr>
      </w:pPr>
      <w:r>
        <w:rPr>
          <w:rFonts w:hint="eastAsia" w:ascii="仿宋" w:hAnsi="仿宋" w:eastAsia="仿宋" w:cs="楷体"/>
          <w:bCs/>
          <w:sz w:val="24"/>
          <w:szCs w:val="24"/>
          <w:lang w:eastAsia="zh-CN"/>
        </w:rPr>
        <w:t>此项工作需</w:t>
      </w:r>
      <w:r>
        <w:rPr>
          <w:rFonts w:hint="eastAsia" w:ascii="仿宋" w:hAnsi="仿宋" w:eastAsia="仿宋" w:cs="楷体"/>
          <w:bCs/>
          <w:sz w:val="24"/>
          <w:szCs w:val="24"/>
          <w:lang w:val="en-US" w:eastAsia="zh-CN"/>
        </w:rPr>
        <w:t>1</w:t>
      </w:r>
      <w:r>
        <w:rPr>
          <w:rFonts w:hint="eastAsia" w:ascii="仿宋" w:hAnsi="仿宋" w:eastAsia="仿宋" w:cs="楷体"/>
          <w:bCs/>
          <w:sz w:val="24"/>
          <w:szCs w:val="24"/>
        </w:rPr>
        <w:t>名有项目经验的</w:t>
      </w:r>
      <w:r>
        <w:rPr>
          <w:rFonts w:hint="eastAsia" w:ascii="仿宋" w:hAnsi="仿宋" w:eastAsia="仿宋" w:cs="楷体"/>
          <w:bCs/>
          <w:sz w:val="24"/>
          <w:szCs w:val="24"/>
          <w:lang w:eastAsia="zh-CN"/>
        </w:rPr>
        <w:t>技术总监</w:t>
      </w:r>
      <w:r>
        <w:rPr>
          <w:rFonts w:hint="eastAsia" w:ascii="仿宋" w:hAnsi="仿宋" w:eastAsia="仿宋" w:cs="楷体"/>
          <w:bCs/>
          <w:sz w:val="24"/>
          <w:szCs w:val="24"/>
        </w:rPr>
        <w:t>（土地估价师）及</w:t>
      </w:r>
      <w:r>
        <w:rPr>
          <w:rFonts w:hint="eastAsia" w:ascii="仿宋" w:hAnsi="仿宋" w:eastAsia="仿宋" w:cs="楷体"/>
          <w:bCs/>
          <w:sz w:val="24"/>
          <w:szCs w:val="24"/>
          <w:lang w:eastAsia="zh-CN"/>
        </w:rPr>
        <w:t>1名土地估价师、2名估价师助理</w:t>
      </w:r>
      <w:r>
        <w:rPr>
          <w:rFonts w:hint="eastAsia" w:ascii="仿宋" w:hAnsi="仿宋" w:eastAsia="仿宋" w:cs="楷体"/>
          <w:bCs/>
          <w:sz w:val="24"/>
          <w:szCs w:val="24"/>
          <w:lang w:val="en-US" w:eastAsia="zh-CN"/>
        </w:rPr>
        <w:t>3个工作日完成</w:t>
      </w:r>
      <w:r>
        <w:rPr>
          <w:rFonts w:hint="eastAsia" w:ascii="仿宋" w:hAnsi="仿宋" w:eastAsia="仿宋" w:cs="楷体"/>
          <w:bCs/>
          <w:sz w:val="24"/>
          <w:szCs w:val="24"/>
        </w:rPr>
        <w:t>，</w:t>
      </w:r>
      <w:r>
        <w:rPr>
          <w:rFonts w:hint="eastAsia" w:ascii="仿宋" w:hAnsi="仿宋" w:eastAsia="仿宋" w:cs="楷体"/>
          <w:bCs/>
          <w:sz w:val="24"/>
          <w:szCs w:val="24"/>
          <w:lang w:eastAsia="zh-CN"/>
        </w:rPr>
        <w:t>项目成果评审时需邀请专家进行评审</w:t>
      </w:r>
      <w:r>
        <w:rPr>
          <w:rFonts w:hint="eastAsia" w:ascii="仿宋" w:hAnsi="仿宋" w:eastAsia="仿宋" w:cs="楷体"/>
          <w:bCs/>
          <w:sz w:val="24"/>
          <w:szCs w:val="24"/>
          <w:lang w:val="en-US" w:eastAsia="zh-CN"/>
        </w:rPr>
        <w:t>，</w:t>
      </w:r>
      <w:r>
        <w:rPr>
          <w:rFonts w:hint="eastAsia" w:ascii="仿宋" w:hAnsi="仿宋" w:eastAsia="仿宋" w:cs="楷体"/>
          <w:bCs/>
          <w:sz w:val="24"/>
          <w:szCs w:val="24"/>
        </w:rPr>
        <w:t>具体成本详见下表</w:t>
      </w:r>
      <w:r>
        <w:rPr>
          <w:rFonts w:hint="eastAsia" w:ascii="仿宋" w:hAnsi="仿宋" w:eastAsia="仿宋" w:cs="楷体"/>
          <w:bCs/>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1"/>
        <w:jc w:val="center"/>
        <w:textAlignment w:val="auto"/>
        <w:rPr>
          <w:rFonts w:hint="default" w:ascii="仿宋" w:hAnsi="仿宋" w:eastAsia="仿宋" w:cs="楷体"/>
          <w:bCs/>
          <w:sz w:val="24"/>
          <w:szCs w:val="24"/>
          <w:lang w:val="en-US" w:eastAsia="zh-CN"/>
        </w:rPr>
      </w:pPr>
      <w:r>
        <w:rPr>
          <w:rFonts w:hint="eastAsia" w:ascii="仿宋" w:hAnsi="仿宋" w:eastAsia="仿宋" w:cs="楷体"/>
          <w:b/>
          <w:bCs w:val="0"/>
          <w:sz w:val="24"/>
          <w:szCs w:val="24"/>
          <w:lang w:val="en-US" w:eastAsia="zh-CN"/>
        </w:rPr>
        <w:t xml:space="preserve">                   成果</w:t>
      </w:r>
      <w:r>
        <w:rPr>
          <w:rFonts w:hint="eastAsia" w:ascii="仿宋" w:hAnsi="仿宋" w:eastAsia="仿宋" w:cs="楷体"/>
          <w:b/>
          <w:sz w:val="24"/>
          <w:lang w:val="en-US" w:eastAsia="zh-CN"/>
        </w:rPr>
        <w:t>验收</w:t>
      </w:r>
      <w:r>
        <w:rPr>
          <w:rFonts w:hint="eastAsia" w:ascii="仿宋" w:hAnsi="仿宋" w:eastAsia="仿宋" w:cs="楷体"/>
          <w:b/>
          <w:sz w:val="24"/>
          <w:lang w:eastAsia="zh-CN"/>
        </w:rPr>
        <w:t>成本测算表</w:t>
      </w:r>
      <w:r>
        <w:rPr>
          <w:rFonts w:hint="eastAsia" w:ascii="仿宋" w:hAnsi="仿宋" w:eastAsia="仿宋" w:cs="楷体"/>
          <w:b/>
          <w:sz w:val="24"/>
        </w:rPr>
        <w:t xml:space="preserve"> </w:t>
      </w:r>
      <w:r>
        <w:rPr>
          <w:rFonts w:ascii="仿宋" w:hAnsi="仿宋" w:eastAsia="仿宋" w:cs="楷体"/>
          <w:b/>
          <w:sz w:val="24"/>
        </w:rPr>
        <w:t xml:space="preserve">               </w:t>
      </w:r>
      <w:r>
        <w:rPr>
          <w:rFonts w:ascii="仿宋" w:hAnsi="仿宋" w:eastAsia="仿宋" w:cs="楷体"/>
          <w:sz w:val="24"/>
        </w:rPr>
        <w:t xml:space="preserve"> </w:t>
      </w:r>
      <w:r>
        <w:rPr>
          <w:rFonts w:hint="eastAsia" w:ascii="仿宋" w:hAnsi="仿宋" w:eastAsia="仿宋" w:cs="仿宋"/>
          <w:b w:val="0"/>
          <w:bCs/>
          <w:color w:val="000000"/>
          <w:sz w:val="21"/>
          <w:szCs w:val="21"/>
          <w:lang w:val="en-US" w:eastAsia="zh-CN"/>
        </w:rPr>
        <w:t>表14</w:t>
      </w:r>
    </w:p>
    <w:tbl>
      <w:tblPr>
        <w:tblStyle w:val="8"/>
        <w:tblpPr w:leftFromText="180" w:rightFromText="180" w:vertAnchor="text" w:horzAnchor="page" w:tblpX="2532" w:tblpY="161"/>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690"/>
        <w:gridCol w:w="1340"/>
        <w:gridCol w:w="1336"/>
        <w:gridCol w:w="2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690" w:type="dxa"/>
            <w:tcBorders>
              <w:top w:val="single" w:color="73C652" w:sz="8" w:space="0"/>
              <w:left w:val="single" w:color="73C652"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人员组成</w:t>
            </w:r>
          </w:p>
        </w:tc>
        <w:tc>
          <w:tcPr>
            <w:tcW w:w="1340"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工作日（天）</w:t>
            </w:r>
          </w:p>
        </w:tc>
        <w:tc>
          <w:tcPr>
            <w:tcW w:w="1336" w:type="dxa"/>
            <w:tcBorders>
              <w:top w:val="single" w:color="73C652" w:sz="8" w:space="0"/>
              <w:left w:val="dotted" w:color="auto" w:sz="8" w:space="0"/>
              <w:bottom w:val="single" w:color="73C652" w:sz="1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年薪/成本</w:t>
            </w:r>
          </w:p>
        </w:tc>
        <w:tc>
          <w:tcPr>
            <w:tcW w:w="2276" w:type="dxa"/>
            <w:tcBorders>
              <w:top w:val="single" w:color="73C652" w:sz="8" w:space="0"/>
              <w:left w:val="dotted" w:color="auto" w:sz="8" w:space="0"/>
              <w:bottom w:val="single" w:color="73C652" w:sz="1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成本金额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2690" w:type="dxa"/>
            <w:tcBorders>
              <w:top w:val="single" w:color="73C652" w:sz="1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1名技术总监人工成本</w:t>
            </w:r>
          </w:p>
        </w:tc>
        <w:tc>
          <w:tcPr>
            <w:tcW w:w="1340" w:type="dxa"/>
            <w:tcBorders>
              <w:top w:val="single" w:color="73C652" w:sz="1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3</w:t>
            </w:r>
          </w:p>
        </w:tc>
        <w:tc>
          <w:tcPr>
            <w:tcW w:w="1336" w:type="dxa"/>
            <w:tcBorders>
              <w:top w:val="single" w:color="73C652" w:sz="1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15万元</w:t>
            </w:r>
          </w:p>
        </w:tc>
        <w:tc>
          <w:tcPr>
            <w:tcW w:w="2276" w:type="dxa"/>
            <w:tcBorders>
              <w:top w:val="single" w:color="73C652" w:sz="1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1,800元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690"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2名土地估价师人工成本</w:t>
            </w:r>
          </w:p>
        </w:tc>
        <w:tc>
          <w:tcPr>
            <w:tcW w:w="1340" w:type="dxa"/>
            <w:tcBorders>
              <w:top w:val="dotted" w:color="auto" w:sz="8" w:space="0"/>
              <w:left w:val="dotted" w:color="auto" w:sz="8" w:space="0"/>
              <w:bottom w:val="dotted" w:color="auto" w:sz="8" w:space="0"/>
              <w:right w:val="dotted" w:color="auto"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3</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10万元</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2.400元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690"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1名估价师助理人工成本</w:t>
            </w:r>
          </w:p>
        </w:tc>
        <w:tc>
          <w:tcPr>
            <w:tcW w:w="1340" w:type="dxa"/>
            <w:tcBorders>
              <w:top w:val="dotted" w:color="auto" w:sz="8" w:space="0"/>
              <w:left w:val="dotted" w:color="auto" w:sz="8" w:space="0"/>
              <w:bottom w:val="dotted" w:color="auto" w:sz="8" w:space="0"/>
              <w:right w:val="dotted" w:color="auto"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3</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6万元</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FFFFF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720元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2690"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专家评审费</w:t>
            </w:r>
          </w:p>
        </w:tc>
        <w:tc>
          <w:tcPr>
            <w:tcW w:w="1340" w:type="dxa"/>
            <w:tcBorders>
              <w:top w:val="dotted" w:color="auto" w:sz="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w:t>
            </w: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w:t>
            </w: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Cs/>
                <w:color w:val="000000"/>
                <w:sz w:val="21"/>
                <w:szCs w:val="21"/>
                <w:vertAlign w:val="baseline"/>
                <w:lang w:val="en-US" w:eastAsia="zh-CN"/>
              </w:rPr>
            </w:pPr>
            <w:r>
              <w:rPr>
                <w:rFonts w:hint="eastAsia" w:ascii="仿宋" w:hAnsi="仿宋" w:eastAsia="仿宋" w:cs="楷体"/>
                <w:bCs/>
                <w:color w:val="000000"/>
                <w:sz w:val="21"/>
                <w:szCs w:val="21"/>
                <w:vertAlign w:val="baseline"/>
                <w:lang w:val="en-US" w:eastAsia="zh-CN"/>
              </w:rPr>
              <w:t>4,000元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2690" w:type="dxa"/>
            <w:tcBorders>
              <w:top w:val="dotted" w:color="auto" w:sz="8" w:space="0"/>
              <w:left w:val="single" w:color="73C652"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打印费</w:t>
            </w:r>
          </w:p>
        </w:tc>
        <w:tc>
          <w:tcPr>
            <w:tcW w:w="1340" w:type="dxa"/>
            <w:tcBorders>
              <w:top w:val="dotted" w:color="auto" w:sz="8" w:space="0"/>
              <w:left w:val="dotted" w:color="auto" w:sz="8" w:space="0"/>
              <w:bottom w:val="dotted" w:color="auto" w:sz="8" w:space="0"/>
              <w:right w:val="dotted" w:color="auto"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p>
        </w:tc>
        <w:tc>
          <w:tcPr>
            <w:tcW w:w="1336" w:type="dxa"/>
            <w:tcBorders>
              <w:top w:val="dotted" w:color="auto" w:sz="8" w:space="0"/>
              <w:left w:val="dotted" w:color="auto" w:sz="8" w:space="0"/>
              <w:bottom w:val="dotted" w:color="auto" w:sz="8" w:space="0"/>
              <w:right w:val="dotted" w:color="auto" w:sz="8" w:space="0"/>
              <w:tl2br w:val="nil"/>
              <w:tr2bl w:val="nil"/>
            </w:tcBorders>
            <w:shd w:val="clear" w:color="auto" w:fill="F1FAED"/>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p>
        </w:tc>
        <w:tc>
          <w:tcPr>
            <w:tcW w:w="2276" w:type="dxa"/>
            <w:tcBorders>
              <w:top w:val="dotted" w:color="auto" w:sz="8" w:space="0"/>
              <w:left w:val="dotted" w:color="auto" w:sz="8" w:space="0"/>
              <w:bottom w:val="dotted" w:color="auto" w:sz="8" w:space="0"/>
              <w:right w:val="single" w:color="73C652" w:sz="8" w:space="0"/>
              <w:tl2br w:val="nil"/>
              <w:tr2bl w:val="nil"/>
            </w:tcBorders>
            <w:shd w:val="clear" w:color="auto" w:fill="CEECC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center"/>
              <w:textAlignment w:val="auto"/>
              <w:rPr>
                <w:rFonts w:hint="eastAsia" w:ascii="仿宋" w:hAnsi="仿宋" w:eastAsia="仿宋" w:cs="楷体"/>
                <w:bCs/>
                <w:color w:val="000000"/>
                <w:kern w:val="2"/>
                <w:sz w:val="21"/>
                <w:szCs w:val="21"/>
                <w:vertAlign w:val="baseline"/>
                <w:lang w:val="en-US" w:eastAsia="zh-CN" w:bidi="ar-SA"/>
              </w:rPr>
            </w:pPr>
            <w:r>
              <w:rPr>
                <w:rFonts w:hint="eastAsia" w:ascii="仿宋" w:hAnsi="仿宋" w:eastAsia="仿宋" w:cs="楷体"/>
                <w:bCs/>
                <w:color w:val="000000"/>
                <w:sz w:val="21"/>
                <w:szCs w:val="21"/>
                <w:vertAlign w:val="baseline"/>
                <w:lang w:val="en-US" w:eastAsia="zh-CN"/>
              </w:rPr>
              <w:t>2,000元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2690" w:type="dxa"/>
            <w:tcBorders>
              <w:top w:val="dotted" w:color="auto" w:sz="8" w:space="0"/>
              <w:left w:val="single" w:color="73C652"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合计</w:t>
            </w:r>
          </w:p>
        </w:tc>
        <w:tc>
          <w:tcPr>
            <w:tcW w:w="1340"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1336" w:type="dxa"/>
            <w:tcBorders>
              <w:top w:val="dotted" w:color="auto" w:sz="8" w:space="0"/>
              <w:left w:val="dotted" w:color="auto" w:sz="8" w:space="0"/>
              <w:bottom w:val="single" w:color="73C652" w:sz="8" w:space="0"/>
              <w:right w:val="dotted" w:color="auto"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eastAsia" w:ascii="仿宋" w:hAnsi="仿宋" w:eastAsia="仿宋" w:cs="楷体"/>
                <w:b/>
                <w:bCs w:val="0"/>
                <w:color w:val="000000"/>
                <w:sz w:val="21"/>
                <w:szCs w:val="21"/>
                <w:vertAlign w:val="baseline"/>
                <w:lang w:val="en-US" w:eastAsia="zh-CN"/>
              </w:rPr>
            </w:pPr>
          </w:p>
        </w:tc>
        <w:tc>
          <w:tcPr>
            <w:tcW w:w="2276" w:type="dxa"/>
            <w:tcBorders>
              <w:top w:val="dotted" w:color="auto" w:sz="8" w:space="0"/>
              <w:left w:val="dotted" w:color="auto" w:sz="8" w:space="0"/>
              <w:bottom w:val="single" w:color="73C652" w:sz="8" w:space="0"/>
              <w:right w:val="single" w:color="73C652" w:sz="8" w:space="0"/>
              <w:tl2br w:val="nil"/>
              <w:tr2bl w:val="nil"/>
            </w:tcBorders>
            <w:shd w:val="clear" w:color="auto" w:fill="97D57F"/>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rPr>
                <w:rFonts w:hint="default" w:ascii="仿宋" w:hAnsi="仿宋" w:eastAsia="仿宋" w:cs="楷体"/>
                <w:b/>
                <w:bCs w:val="0"/>
                <w:color w:val="000000"/>
                <w:sz w:val="21"/>
                <w:szCs w:val="21"/>
                <w:vertAlign w:val="baseline"/>
                <w:lang w:val="en-US" w:eastAsia="zh-CN"/>
              </w:rPr>
            </w:pPr>
            <w:r>
              <w:rPr>
                <w:rFonts w:hint="eastAsia" w:ascii="仿宋" w:hAnsi="仿宋" w:eastAsia="仿宋" w:cs="楷体"/>
                <w:b/>
                <w:bCs w:val="0"/>
                <w:color w:val="000000"/>
                <w:sz w:val="21"/>
                <w:szCs w:val="21"/>
                <w:vertAlign w:val="baseline"/>
                <w:lang w:val="en-US" w:eastAsia="zh-CN"/>
              </w:rPr>
              <w:t>10,920元</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480" w:firstLineChars="200"/>
        <w:jc w:val="left"/>
        <w:textAlignment w:val="auto"/>
        <w:rPr>
          <w:rFonts w:hint="eastAsia" w:ascii="仿宋" w:hAnsi="仿宋" w:eastAsia="仿宋" w:cs="楷体"/>
          <w:b w:val="0"/>
          <w:bCs/>
          <w:sz w:val="24"/>
        </w:rPr>
      </w:pPr>
      <w:r>
        <w:rPr>
          <w:rFonts w:hint="eastAsia" w:ascii="仿宋" w:hAnsi="仿宋" w:eastAsia="仿宋" w:cs="楷体"/>
          <w:bCs/>
          <w:sz w:val="24"/>
          <w:szCs w:val="24"/>
          <w:lang w:val="en-US" w:eastAsia="zh-CN"/>
        </w:rPr>
        <w:t>8、招标代理及</w:t>
      </w:r>
      <w:r>
        <w:rPr>
          <w:rFonts w:hint="eastAsia" w:ascii="仿宋" w:hAnsi="仿宋" w:eastAsia="仿宋" w:cs="楷体"/>
          <w:b w:val="0"/>
          <w:bCs/>
          <w:sz w:val="24"/>
        </w:rPr>
        <w:t>管理费用</w:t>
      </w:r>
    </w:p>
    <w:p>
      <w:pPr>
        <w:keepNext w:val="0"/>
        <w:keepLines w:val="0"/>
        <w:pageBreakBefore w:val="0"/>
        <w:widowControl w:val="0"/>
        <w:kinsoku/>
        <w:wordWrap/>
        <w:overflowPunct/>
        <w:topLinePunct w:val="0"/>
        <w:autoSpaceDE/>
        <w:autoSpaceDN/>
        <w:bidi w:val="0"/>
        <w:adjustRightInd/>
        <w:snapToGrid/>
        <w:spacing w:line="540" w:lineRule="exact"/>
        <w:ind w:firstLine="480" w:firstLineChars="200"/>
        <w:jc w:val="left"/>
        <w:textAlignment w:val="auto"/>
        <w:rPr>
          <w:rFonts w:hint="default" w:ascii="仿宋" w:hAnsi="仿宋" w:eastAsia="仿宋" w:cs="楷体"/>
          <w:bCs/>
          <w:sz w:val="24"/>
          <w:lang w:val="en-US" w:eastAsia="zh-CN"/>
        </w:rPr>
      </w:pPr>
      <w:r>
        <w:rPr>
          <w:rFonts w:hint="eastAsia" w:ascii="仿宋" w:hAnsi="仿宋" w:eastAsia="仿宋" w:cs="楷体"/>
          <w:bCs/>
          <w:sz w:val="24"/>
          <w:lang w:val="en-US" w:eastAsia="zh-CN"/>
        </w:rPr>
        <w:t>招标代理费主要是指项目中标人支付给项目招标代理机构的费用，此项费用一般为10000元。</w:t>
      </w:r>
    </w:p>
    <w:p>
      <w:pPr>
        <w:keepNext w:val="0"/>
        <w:keepLines w:val="0"/>
        <w:pageBreakBefore w:val="0"/>
        <w:widowControl w:val="0"/>
        <w:kinsoku/>
        <w:wordWrap/>
        <w:overflowPunct/>
        <w:topLinePunct w:val="0"/>
        <w:autoSpaceDE/>
        <w:autoSpaceDN/>
        <w:bidi w:val="0"/>
        <w:adjustRightInd/>
        <w:snapToGrid/>
        <w:spacing w:line="540" w:lineRule="exact"/>
        <w:ind w:firstLine="480" w:firstLineChars="200"/>
        <w:jc w:val="left"/>
        <w:textAlignment w:val="auto"/>
        <w:rPr>
          <w:rFonts w:hint="eastAsia" w:ascii="仿宋" w:hAnsi="仿宋" w:eastAsia="仿宋" w:cs="楷体"/>
          <w:bCs/>
          <w:sz w:val="24"/>
          <w:lang w:val="en-US" w:eastAsia="zh-CN"/>
        </w:rPr>
      </w:pPr>
      <w:r>
        <w:rPr>
          <w:rFonts w:hint="eastAsia" w:ascii="仿宋" w:hAnsi="仿宋" w:eastAsia="仿宋" w:cs="楷体"/>
          <w:bCs/>
          <w:sz w:val="24"/>
          <w:lang w:val="en-US" w:eastAsia="zh-CN"/>
        </w:rPr>
        <w:t>管理费用主要是指公司持续发展需要配备办公场所费用、员工五险一金费用、员工项目提成费用及公司行政、财务人员等产生的管理费用，管理费用按照上述成本（1</w:t>
      </w:r>
      <w:r>
        <w:rPr>
          <w:rFonts w:hint="eastAsia" w:ascii="微软雅黑" w:hAnsi="微软雅黑" w:eastAsia="微软雅黑" w:cs="微软雅黑"/>
          <w:bCs/>
          <w:sz w:val="24"/>
          <w:lang w:val="en-US" w:eastAsia="zh-CN"/>
        </w:rPr>
        <w:t>~</w:t>
      </w:r>
      <w:r>
        <w:rPr>
          <w:rFonts w:hint="eastAsia" w:ascii="仿宋" w:hAnsi="仿宋" w:eastAsia="仿宋" w:cs="楷体"/>
          <w:bCs/>
          <w:sz w:val="24"/>
          <w:lang w:val="en-US" w:eastAsia="zh-CN"/>
        </w:rPr>
        <w:t>7含招标代理费）的10%计算，则管理费用为23,052元。</w:t>
      </w:r>
    </w:p>
    <w:p>
      <w:pPr>
        <w:keepNext w:val="0"/>
        <w:keepLines w:val="0"/>
        <w:pageBreakBefore w:val="0"/>
        <w:widowControl w:val="0"/>
        <w:kinsoku/>
        <w:wordWrap/>
        <w:overflowPunct/>
        <w:topLinePunct w:val="0"/>
        <w:autoSpaceDE/>
        <w:autoSpaceDN/>
        <w:bidi w:val="0"/>
        <w:adjustRightInd/>
        <w:snapToGrid/>
        <w:spacing w:line="540" w:lineRule="exact"/>
        <w:ind w:left="2399" w:leftChars="228" w:hanging="1920" w:hangingChars="800"/>
        <w:jc w:val="left"/>
        <w:textAlignment w:val="auto"/>
        <w:rPr>
          <w:rFonts w:hint="eastAsia" w:ascii="仿宋" w:hAnsi="仿宋" w:eastAsia="仿宋" w:cs="楷体"/>
          <w:bCs/>
          <w:sz w:val="24"/>
          <w:lang w:val="en-US" w:eastAsia="zh-CN"/>
        </w:rPr>
      </w:pPr>
      <w:r>
        <w:rPr>
          <w:rFonts w:hint="eastAsia" w:ascii="仿宋" w:hAnsi="仿宋" w:eastAsia="仿宋" w:cs="楷体"/>
          <w:bCs/>
          <w:sz w:val="24"/>
          <w:lang w:val="en-US" w:eastAsia="zh-CN"/>
        </w:rPr>
        <w:t>管理费计算公式=（30,400元+45,600元+86,600元+16,400元+22,280元+8,320元+10,920元+10,000元）×10%=23,052元</w:t>
      </w:r>
    </w:p>
    <w:p>
      <w:pPr>
        <w:keepNext w:val="0"/>
        <w:keepLines w:val="0"/>
        <w:pageBreakBefore w:val="0"/>
        <w:widowControl w:val="0"/>
        <w:kinsoku/>
        <w:wordWrap/>
        <w:overflowPunct/>
        <w:topLinePunct w:val="0"/>
        <w:autoSpaceDE/>
        <w:autoSpaceDN/>
        <w:bidi w:val="0"/>
        <w:adjustRightInd/>
        <w:snapToGrid/>
        <w:spacing w:line="540" w:lineRule="exact"/>
        <w:ind w:left="2399" w:leftChars="228" w:hanging="1920" w:hangingChars="800"/>
        <w:jc w:val="left"/>
        <w:textAlignment w:val="auto"/>
        <w:rPr>
          <w:rFonts w:hint="default" w:ascii="仿宋" w:hAnsi="仿宋" w:eastAsia="仿宋" w:cs="楷体"/>
          <w:bCs/>
          <w:sz w:val="24"/>
          <w:lang w:val="en-US" w:eastAsia="zh-CN"/>
        </w:rPr>
      </w:pPr>
      <w:r>
        <w:rPr>
          <w:rFonts w:hint="eastAsia" w:ascii="仿宋" w:hAnsi="仿宋" w:eastAsia="仿宋" w:cs="楷体"/>
          <w:bCs/>
          <w:sz w:val="24"/>
          <w:lang w:val="en-US" w:eastAsia="zh-CN"/>
        </w:rPr>
        <w:t>则</w:t>
      </w:r>
      <w:r>
        <w:rPr>
          <w:rFonts w:hint="eastAsia" w:ascii="仿宋" w:hAnsi="仿宋" w:eastAsia="仿宋" w:cs="楷体"/>
          <w:bCs/>
          <w:sz w:val="24"/>
          <w:szCs w:val="24"/>
          <w:lang w:val="en-US" w:eastAsia="zh-CN"/>
        </w:rPr>
        <w:t>招标代理及</w:t>
      </w:r>
      <w:r>
        <w:rPr>
          <w:rFonts w:hint="eastAsia" w:ascii="仿宋" w:hAnsi="仿宋" w:eastAsia="仿宋" w:cs="楷体"/>
          <w:b w:val="0"/>
          <w:bCs/>
          <w:sz w:val="24"/>
        </w:rPr>
        <w:t>管理费用</w:t>
      </w:r>
      <w:r>
        <w:rPr>
          <w:rFonts w:hint="eastAsia" w:ascii="仿宋" w:hAnsi="仿宋" w:eastAsia="仿宋" w:cs="楷体"/>
          <w:b w:val="0"/>
          <w:bCs/>
          <w:sz w:val="24"/>
          <w:lang w:val="en-US" w:eastAsia="zh-CN"/>
        </w:rPr>
        <w:t>=</w:t>
      </w:r>
      <w:r>
        <w:rPr>
          <w:rFonts w:hint="eastAsia" w:ascii="仿宋" w:hAnsi="仿宋" w:eastAsia="仿宋" w:cs="楷体"/>
          <w:bCs/>
          <w:sz w:val="24"/>
          <w:lang w:val="en-US" w:eastAsia="zh-CN"/>
        </w:rPr>
        <w:t>10,000元+23,052元=33,052元</w:t>
      </w:r>
    </w:p>
    <w:p>
      <w:pPr>
        <w:keepNext w:val="0"/>
        <w:keepLines w:val="0"/>
        <w:pageBreakBefore w:val="0"/>
        <w:widowControl w:val="0"/>
        <w:kinsoku/>
        <w:wordWrap/>
        <w:overflowPunct/>
        <w:topLinePunct w:val="0"/>
        <w:autoSpaceDE/>
        <w:autoSpaceDN/>
        <w:bidi w:val="0"/>
        <w:adjustRightInd/>
        <w:snapToGrid/>
        <w:spacing w:line="540" w:lineRule="exact"/>
        <w:ind w:firstLine="480" w:firstLineChars="200"/>
        <w:jc w:val="left"/>
        <w:textAlignment w:val="auto"/>
        <w:rPr>
          <w:rFonts w:hint="eastAsia" w:ascii="仿宋" w:hAnsi="仿宋" w:eastAsia="仿宋" w:cs="楷体"/>
          <w:b w:val="0"/>
          <w:bCs/>
          <w:sz w:val="24"/>
          <w:lang w:val="en-US" w:eastAsia="zh-CN"/>
        </w:rPr>
      </w:pPr>
      <w:r>
        <w:rPr>
          <w:rFonts w:hint="eastAsia" w:ascii="仿宋" w:hAnsi="仿宋" w:eastAsia="仿宋" w:cs="楷体"/>
          <w:b w:val="0"/>
          <w:bCs/>
          <w:sz w:val="24"/>
          <w:lang w:val="en-US" w:eastAsia="zh-CN"/>
        </w:rPr>
        <w:t>9、不可预见费用</w:t>
      </w:r>
    </w:p>
    <w:p>
      <w:pPr>
        <w:keepNext w:val="0"/>
        <w:keepLines w:val="0"/>
        <w:pageBreakBefore w:val="0"/>
        <w:widowControl w:val="0"/>
        <w:kinsoku/>
        <w:wordWrap/>
        <w:overflowPunct/>
        <w:topLinePunct w:val="0"/>
        <w:autoSpaceDE/>
        <w:autoSpaceDN/>
        <w:bidi w:val="0"/>
        <w:adjustRightInd/>
        <w:snapToGrid/>
        <w:spacing w:line="540" w:lineRule="exact"/>
        <w:ind w:firstLine="480" w:firstLineChars="200"/>
        <w:jc w:val="left"/>
        <w:textAlignment w:val="auto"/>
        <w:rPr>
          <w:rFonts w:hint="eastAsia" w:ascii="仿宋" w:hAnsi="仿宋" w:eastAsia="仿宋" w:cs="楷体"/>
          <w:bCs/>
          <w:sz w:val="24"/>
          <w:lang w:val="en-US" w:eastAsia="zh-CN"/>
        </w:rPr>
      </w:pPr>
      <w:r>
        <w:rPr>
          <w:rFonts w:hint="eastAsia" w:ascii="仿宋" w:hAnsi="仿宋" w:eastAsia="仿宋" w:cs="楷体"/>
          <w:b w:val="0"/>
          <w:bCs/>
          <w:sz w:val="24"/>
          <w:lang w:val="en-US" w:eastAsia="zh-CN"/>
        </w:rPr>
        <w:t>不可预见费用主要为公司在进行</w:t>
      </w:r>
      <w:r>
        <w:rPr>
          <w:rFonts w:hint="eastAsia" w:ascii="仿宋" w:hAnsi="仿宋" w:eastAsia="仿宋" w:cs="楷体"/>
          <w:bCs/>
          <w:sz w:val="24"/>
          <w:lang w:eastAsia="zh-CN"/>
        </w:rPr>
        <w:t>林地定级和基准地价</w:t>
      </w:r>
      <w:r>
        <w:rPr>
          <w:rFonts w:hint="eastAsia" w:ascii="仿宋" w:hAnsi="仿宋" w:eastAsia="仿宋" w:cs="楷体"/>
          <w:bCs/>
          <w:sz w:val="24"/>
        </w:rPr>
        <w:t>评估</w:t>
      </w:r>
      <w:r>
        <w:rPr>
          <w:rFonts w:hint="eastAsia" w:ascii="仿宋" w:hAnsi="仿宋" w:eastAsia="仿宋" w:cs="楷体"/>
          <w:bCs/>
          <w:sz w:val="24"/>
          <w:lang w:val="en-US" w:eastAsia="zh-CN"/>
        </w:rPr>
        <w:t>时，因不可预见的因素给公司带来的风险导致成本费用的增加，不可预见</w:t>
      </w:r>
      <w:r>
        <w:rPr>
          <w:rFonts w:hint="eastAsia" w:ascii="仿宋" w:hAnsi="仿宋" w:eastAsia="仿宋" w:cs="楷体"/>
          <w:bCs/>
          <w:sz w:val="24"/>
        </w:rPr>
        <w:t>费用按照上述成本（</w:t>
      </w:r>
      <w:r>
        <w:rPr>
          <w:rFonts w:hint="eastAsia" w:ascii="仿宋" w:hAnsi="仿宋" w:eastAsia="仿宋" w:cs="楷体"/>
          <w:bCs/>
          <w:sz w:val="24"/>
          <w:lang w:val="en-US" w:eastAsia="zh-CN"/>
        </w:rPr>
        <w:t>1</w:t>
      </w:r>
      <w:r>
        <w:rPr>
          <w:rFonts w:hint="eastAsia" w:ascii="微软雅黑" w:hAnsi="微软雅黑" w:eastAsia="微软雅黑" w:cs="微软雅黑"/>
          <w:bCs/>
          <w:sz w:val="24"/>
          <w:lang w:val="en-US" w:eastAsia="zh-CN"/>
        </w:rPr>
        <w:t>~</w:t>
      </w:r>
      <w:r>
        <w:rPr>
          <w:rFonts w:hint="eastAsia" w:ascii="仿宋" w:hAnsi="仿宋" w:eastAsia="仿宋" w:cs="楷体"/>
          <w:bCs/>
          <w:sz w:val="24"/>
          <w:lang w:val="en-US" w:eastAsia="zh-CN"/>
        </w:rPr>
        <w:t>7含招标代理费</w:t>
      </w:r>
      <w:r>
        <w:rPr>
          <w:rFonts w:hint="eastAsia" w:ascii="仿宋" w:hAnsi="仿宋" w:eastAsia="仿宋" w:cs="楷体"/>
          <w:bCs/>
          <w:sz w:val="24"/>
        </w:rPr>
        <w:t>）的5%计算，则</w:t>
      </w:r>
      <w:r>
        <w:rPr>
          <w:rFonts w:hint="eastAsia" w:ascii="仿宋" w:hAnsi="仿宋" w:eastAsia="仿宋" w:cs="楷体"/>
          <w:b w:val="0"/>
          <w:bCs/>
          <w:sz w:val="24"/>
          <w:lang w:val="en-US" w:eastAsia="zh-CN"/>
        </w:rPr>
        <w:t>不可预见费用</w:t>
      </w:r>
      <w:r>
        <w:rPr>
          <w:rFonts w:hint="eastAsia" w:ascii="仿宋" w:hAnsi="仿宋" w:eastAsia="仿宋" w:cs="楷体"/>
          <w:bCs/>
          <w:sz w:val="24"/>
        </w:rPr>
        <w:t>为</w:t>
      </w:r>
      <w:r>
        <w:rPr>
          <w:rFonts w:hint="eastAsia" w:ascii="仿宋" w:hAnsi="仿宋" w:eastAsia="仿宋" w:cs="楷体"/>
          <w:bCs/>
          <w:sz w:val="24"/>
          <w:lang w:val="en-US" w:eastAsia="zh-CN"/>
        </w:rPr>
        <w:t>11,526</w:t>
      </w:r>
      <w:r>
        <w:rPr>
          <w:rFonts w:hint="eastAsia" w:ascii="仿宋" w:hAnsi="仿宋" w:eastAsia="仿宋" w:cs="楷体"/>
          <w:bCs/>
          <w:sz w:val="24"/>
        </w:rPr>
        <w:t>元</w:t>
      </w:r>
      <w:r>
        <w:rPr>
          <w:rFonts w:hint="eastAsia" w:ascii="仿宋" w:hAnsi="仿宋" w:eastAsia="仿宋" w:cs="楷体"/>
          <w:bCs/>
          <w:sz w:val="24"/>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left="1439" w:leftChars="228" w:hanging="960" w:hangingChars="400"/>
        <w:jc w:val="left"/>
        <w:textAlignment w:val="auto"/>
        <w:rPr>
          <w:rFonts w:hint="eastAsia" w:ascii="仿宋" w:hAnsi="仿宋" w:eastAsia="仿宋" w:cs="楷体"/>
          <w:bCs/>
          <w:sz w:val="24"/>
          <w:lang w:val="en-US" w:eastAsia="zh-CN"/>
        </w:rPr>
      </w:pPr>
      <w:r>
        <w:rPr>
          <w:rFonts w:hint="eastAsia" w:ascii="仿宋" w:hAnsi="仿宋" w:eastAsia="仿宋" w:cs="楷体"/>
          <w:bCs/>
          <w:sz w:val="24"/>
          <w:lang w:val="en-US" w:eastAsia="zh-CN"/>
        </w:rPr>
        <w:t>计算公式=（30,400元+45,600元+86,600元+16,400元+22,280元+8,320元+10,920元+10,000元）×5%=11,526元</w:t>
      </w:r>
    </w:p>
    <w:p>
      <w:pPr>
        <w:keepNext w:val="0"/>
        <w:keepLines w:val="0"/>
        <w:pageBreakBefore w:val="0"/>
        <w:widowControl w:val="0"/>
        <w:kinsoku/>
        <w:wordWrap/>
        <w:overflowPunct/>
        <w:topLinePunct w:val="0"/>
        <w:autoSpaceDE/>
        <w:autoSpaceDN/>
        <w:bidi w:val="0"/>
        <w:adjustRightInd/>
        <w:snapToGrid/>
        <w:spacing w:line="540" w:lineRule="exact"/>
        <w:ind w:firstLine="480" w:firstLineChars="200"/>
        <w:jc w:val="left"/>
        <w:textAlignment w:val="auto"/>
        <w:rPr>
          <w:rFonts w:hint="eastAsia" w:ascii="仿宋" w:hAnsi="仿宋" w:eastAsia="仿宋" w:cs="楷体"/>
          <w:b w:val="0"/>
          <w:bCs/>
          <w:sz w:val="24"/>
          <w:lang w:val="en-US" w:eastAsia="zh-CN"/>
        </w:rPr>
      </w:pPr>
      <w:r>
        <w:rPr>
          <w:rFonts w:hint="eastAsia" w:ascii="仿宋" w:hAnsi="仿宋" w:eastAsia="仿宋" w:cs="楷体"/>
          <w:b w:val="0"/>
          <w:bCs/>
          <w:sz w:val="24"/>
          <w:lang w:val="en-US" w:eastAsia="zh-CN"/>
        </w:rPr>
        <w:t>10、企业利润</w:t>
      </w:r>
    </w:p>
    <w:p>
      <w:pPr>
        <w:keepNext w:val="0"/>
        <w:keepLines w:val="0"/>
        <w:pageBreakBefore w:val="0"/>
        <w:widowControl w:val="0"/>
        <w:kinsoku/>
        <w:wordWrap/>
        <w:overflowPunct/>
        <w:topLinePunct w:val="0"/>
        <w:autoSpaceDE/>
        <w:autoSpaceDN/>
        <w:bidi w:val="0"/>
        <w:adjustRightInd/>
        <w:snapToGrid/>
        <w:spacing w:line="540" w:lineRule="exact"/>
        <w:ind w:firstLine="480" w:firstLineChars="200"/>
        <w:jc w:val="left"/>
        <w:textAlignment w:val="auto"/>
        <w:rPr>
          <w:rFonts w:hint="eastAsia" w:ascii="仿宋" w:hAnsi="仿宋" w:eastAsia="仿宋" w:cs="楷体"/>
          <w:bCs/>
          <w:i w:val="0"/>
          <w:iCs w:val="0"/>
          <w:caps w:val="0"/>
          <w:spacing w:val="0"/>
          <w:sz w:val="24"/>
          <w:szCs w:val="24"/>
          <w:shd w:val="clear" w:color="auto" w:fill="auto"/>
          <w:lang w:val="en-US" w:eastAsia="zh-CN"/>
        </w:rPr>
      </w:pPr>
      <w:r>
        <w:rPr>
          <w:rFonts w:hint="eastAsia" w:ascii="仿宋" w:hAnsi="仿宋" w:eastAsia="仿宋" w:cs="楷体"/>
          <w:bCs/>
          <w:sz w:val="24"/>
          <w:szCs w:val="24"/>
          <w:lang w:val="en-US" w:eastAsia="zh-CN"/>
        </w:rPr>
        <w:t>企业长远发展需要的合理利润，企业利润也是</w:t>
      </w:r>
      <w:r>
        <w:rPr>
          <w:rFonts w:hint="eastAsia" w:ascii="仿宋" w:hAnsi="仿宋" w:eastAsia="仿宋" w:cs="楷体"/>
          <w:bCs/>
          <w:i w:val="0"/>
          <w:iCs w:val="0"/>
          <w:caps w:val="0"/>
          <w:color w:val="333333"/>
          <w:spacing w:val="0"/>
          <w:sz w:val="24"/>
          <w:szCs w:val="24"/>
          <w:shd w:val="clear" w:color="auto" w:fill="auto"/>
        </w:rPr>
        <w:t>企业可持续发展的基石</w:t>
      </w:r>
      <w:r>
        <w:rPr>
          <w:rFonts w:hint="eastAsia" w:ascii="仿宋" w:hAnsi="仿宋" w:eastAsia="仿宋" w:cs="楷体"/>
          <w:bCs/>
          <w:i w:val="0"/>
          <w:iCs w:val="0"/>
          <w:caps w:val="0"/>
          <w:spacing w:val="0"/>
          <w:sz w:val="24"/>
          <w:szCs w:val="24"/>
          <w:shd w:val="clear" w:color="auto" w:fill="auto"/>
          <w:lang w:eastAsia="zh-CN"/>
        </w:rPr>
        <w:t>，</w:t>
      </w:r>
      <w:r>
        <w:rPr>
          <w:rFonts w:hint="eastAsia" w:ascii="仿宋" w:hAnsi="仿宋" w:eastAsia="仿宋" w:cs="楷体"/>
          <w:bCs/>
          <w:i w:val="0"/>
          <w:iCs w:val="0"/>
          <w:caps w:val="0"/>
          <w:spacing w:val="0"/>
          <w:sz w:val="24"/>
          <w:szCs w:val="24"/>
          <w:shd w:val="clear" w:color="auto" w:fill="auto"/>
          <w:lang w:val="en-US" w:eastAsia="zh-CN"/>
        </w:rPr>
        <w:t>本次测算按上述成本（1</w:t>
      </w:r>
      <w:r>
        <w:rPr>
          <w:rFonts w:hint="eastAsia" w:ascii="微软雅黑" w:hAnsi="微软雅黑" w:eastAsia="微软雅黑" w:cs="微软雅黑"/>
          <w:bCs/>
          <w:sz w:val="24"/>
          <w:lang w:val="en-US" w:eastAsia="zh-CN"/>
        </w:rPr>
        <w:t>~</w:t>
      </w:r>
      <w:r>
        <w:rPr>
          <w:rFonts w:hint="eastAsia" w:ascii="仿宋" w:hAnsi="仿宋" w:eastAsia="仿宋" w:cs="楷体"/>
          <w:bCs/>
          <w:i w:val="0"/>
          <w:iCs w:val="0"/>
          <w:caps w:val="0"/>
          <w:spacing w:val="0"/>
          <w:sz w:val="24"/>
          <w:szCs w:val="24"/>
          <w:shd w:val="clear" w:color="auto" w:fill="auto"/>
          <w:lang w:val="en-US" w:eastAsia="zh-CN"/>
        </w:rPr>
        <w:t>9）的5%计算利润，则利润为13,255元。</w:t>
      </w:r>
    </w:p>
    <w:p>
      <w:pPr>
        <w:keepNext w:val="0"/>
        <w:keepLines w:val="0"/>
        <w:pageBreakBefore w:val="0"/>
        <w:widowControl w:val="0"/>
        <w:kinsoku/>
        <w:wordWrap/>
        <w:overflowPunct/>
        <w:topLinePunct w:val="0"/>
        <w:autoSpaceDE/>
        <w:autoSpaceDN/>
        <w:bidi w:val="0"/>
        <w:adjustRightInd/>
        <w:snapToGrid/>
        <w:spacing w:line="540" w:lineRule="exact"/>
        <w:ind w:left="1439" w:leftChars="228" w:hanging="960" w:hangingChars="400"/>
        <w:jc w:val="left"/>
        <w:textAlignment w:val="auto"/>
        <w:rPr>
          <w:rFonts w:hint="default" w:ascii="仿宋" w:hAnsi="仿宋" w:eastAsia="仿宋" w:cs="楷体"/>
          <w:bCs/>
          <w:i w:val="0"/>
          <w:iCs w:val="0"/>
          <w:caps w:val="0"/>
          <w:spacing w:val="0"/>
          <w:sz w:val="24"/>
          <w:szCs w:val="24"/>
          <w:shd w:val="clear" w:color="auto" w:fill="auto"/>
          <w:lang w:val="en-US" w:eastAsia="zh-CN"/>
        </w:rPr>
      </w:pPr>
      <w:r>
        <w:rPr>
          <w:rFonts w:hint="default" w:ascii="仿宋" w:hAnsi="仿宋" w:eastAsia="仿宋" w:cs="楷体"/>
          <w:bCs/>
          <w:i w:val="0"/>
          <w:iCs w:val="0"/>
          <w:caps w:val="0"/>
          <w:spacing w:val="0"/>
          <w:sz w:val="24"/>
          <w:szCs w:val="24"/>
          <w:shd w:val="clear" w:color="auto" w:fill="auto"/>
          <w:lang w:val="en-US" w:eastAsia="zh-CN"/>
        </w:rPr>
        <w:t>计算公式=（</w:t>
      </w:r>
      <w:r>
        <w:rPr>
          <w:rFonts w:hint="eastAsia" w:ascii="仿宋" w:hAnsi="仿宋" w:eastAsia="仿宋" w:cs="楷体"/>
          <w:bCs/>
          <w:sz w:val="24"/>
          <w:lang w:val="en-US" w:eastAsia="zh-CN"/>
        </w:rPr>
        <w:t>30,400元+45,600元+86,600元+16,400元+22,280元+8,320元+10,920元+10,000元+23,052元+11,526元</w:t>
      </w:r>
      <w:r>
        <w:rPr>
          <w:rFonts w:hint="default" w:ascii="仿宋" w:hAnsi="仿宋" w:eastAsia="仿宋" w:cs="楷体"/>
          <w:bCs/>
          <w:i w:val="0"/>
          <w:iCs w:val="0"/>
          <w:caps w:val="0"/>
          <w:spacing w:val="0"/>
          <w:sz w:val="24"/>
          <w:szCs w:val="24"/>
          <w:shd w:val="clear" w:color="auto" w:fill="auto"/>
          <w:lang w:val="en-US" w:eastAsia="zh-CN"/>
        </w:rPr>
        <w:t>）×5%=</w:t>
      </w:r>
      <w:r>
        <w:rPr>
          <w:rFonts w:hint="eastAsia" w:ascii="仿宋" w:hAnsi="仿宋" w:eastAsia="仿宋" w:cs="楷体"/>
          <w:bCs/>
          <w:i w:val="0"/>
          <w:iCs w:val="0"/>
          <w:caps w:val="0"/>
          <w:spacing w:val="0"/>
          <w:sz w:val="24"/>
          <w:szCs w:val="24"/>
          <w:shd w:val="clear" w:color="auto" w:fill="auto"/>
          <w:lang w:val="en-US" w:eastAsia="zh-CN"/>
        </w:rPr>
        <w:t>13,255</w:t>
      </w:r>
      <w:r>
        <w:rPr>
          <w:rFonts w:hint="default" w:ascii="仿宋" w:hAnsi="仿宋" w:eastAsia="仿宋" w:cs="楷体"/>
          <w:bCs/>
          <w:i w:val="0"/>
          <w:iCs w:val="0"/>
          <w:caps w:val="0"/>
          <w:spacing w:val="0"/>
          <w:sz w:val="24"/>
          <w:szCs w:val="24"/>
          <w:shd w:val="clear" w:color="auto" w:fill="auto"/>
          <w:lang w:val="en-US" w:eastAsia="zh-CN"/>
        </w:rPr>
        <w:t>元</w:t>
      </w:r>
    </w:p>
    <w:p>
      <w:pPr>
        <w:keepNext w:val="0"/>
        <w:keepLines w:val="0"/>
        <w:pageBreakBefore w:val="0"/>
        <w:widowControl w:val="0"/>
        <w:kinsoku/>
        <w:wordWrap/>
        <w:overflowPunct/>
        <w:topLinePunct w:val="0"/>
        <w:autoSpaceDE/>
        <w:autoSpaceDN/>
        <w:bidi w:val="0"/>
        <w:adjustRightInd/>
        <w:snapToGrid/>
        <w:spacing w:line="540" w:lineRule="exact"/>
        <w:ind w:firstLine="480" w:firstLineChars="200"/>
        <w:jc w:val="left"/>
        <w:textAlignment w:val="auto"/>
        <w:rPr>
          <w:rFonts w:hint="eastAsia" w:ascii="仿宋" w:hAnsi="仿宋" w:eastAsia="仿宋" w:cs="楷体"/>
          <w:b w:val="0"/>
          <w:bCs/>
          <w:sz w:val="24"/>
        </w:rPr>
      </w:pPr>
      <w:r>
        <w:rPr>
          <w:rFonts w:hint="eastAsia" w:ascii="仿宋" w:hAnsi="仿宋" w:eastAsia="仿宋" w:cs="楷体"/>
          <w:b w:val="0"/>
          <w:bCs/>
          <w:sz w:val="24"/>
          <w:lang w:val="en-US" w:eastAsia="zh-CN"/>
        </w:rPr>
        <w:t>11、</w:t>
      </w:r>
      <w:r>
        <w:rPr>
          <w:rFonts w:hint="eastAsia" w:ascii="仿宋" w:hAnsi="仿宋" w:eastAsia="仿宋" w:cs="楷体"/>
          <w:b w:val="0"/>
          <w:bCs/>
          <w:sz w:val="24"/>
        </w:rPr>
        <w:t>税费</w:t>
      </w:r>
    </w:p>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 w:hAnsi="仿宋" w:eastAsia="仿宋" w:cs="楷体"/>
          <w:bCs/>
          <w:sz w:val="24"/>
        </w:rPr>
      </w:pPr>
      <w:r>
        <w:rPr>
          <w:rFonts w:hint="eastAsia" w:ascii="仿宋" w:hAnsi="仿宋" w:eastAsia="仿宋" w:cs="楷体"/>
          <w:bCs/>
          <w:sz w:val="24"/>
        </w:rPr>
        <w:t xml:space="preserve">    税费是指企业合法经营需缴纳的税费，</w:t>
      </w:r>
      <w:r>
        <w:rPr>
          <w:rFonts w:hint="eastAsia" w:ascii="仿宋" w:hAnsi="仿宋" w:eastAsia="仿宋" w:cs="楷体"/>
          <w:bCs/>
          <w:sz w:val="24"/>
          <w:lang w:eastAsia="zh-CN"/>
        </w:rPr>
        <w:t>一般纳税人增值税6%，加上其他相关税费</w:t>
      </w:r>
      <w:r>
        <w:rPr>
          <w:rFonts w:hint="eastAsia" w:ascii="仿宋" w:hAnsi="仿宋" w:eastAsia="仿宋" w:cs="楷体"/>
          <w:bCs/>
          <w:sz w:val="24"/>
        </w:rPr>
        <w:t>，一般纳税人实际发生税率8%-9%，按8.5%计算出企业税费为</w:t>
      </w:r>
      <w:r>
        <w:rPr>
          <w:rFonts w:hint="eastAsia" w:ascii="仿宋" w:hAnsi="仿宋" w:eastAsia="仿宋" w:cs="楷体"/>
          <w:bCs/>
          <w:sz w:val="24"/>
          <w:lang w:val="en-US" w:eastAsia="zh-CN"/>
        </w:rPr>
        <w:t>22,533</w:t>
      </w:r>
      <w:r>
        <w:rPr>
          <w:rFonts w:hint="eastAsia" w:ascii="仿宋" w:hAnsi="仿宋" w:eastAsia="仿宋" w:cs="楷体"/>
          <w:bCs/>
          <w:sz w:val="24"/>
        </w:rPr>
        <w:t>元。</w:t>
      </w:r>
    </w:p>
    <w:p>
      <w:pPr>
        <w:keepNext w:val="0"/>
        <w:keepLines w:val="0"/>
        <w:pageBreakBefore w:val="0"/>
        <w:widowControl w:val="0"/>
        <w:kinsoku/>
        <w:wordWrap/>
        <w:overflowPunct/>
        <w:topLinePunct w:val="0"/>
        <w:autoSpaceDE/>
        <w:autoSpaceDN/>
        <w:bidi w:val="0"/>
        <w:adjustRightInd/>
        <w:snapToGrid/>
        <w:spacing w:line="540" w:lineRule="exact"/>
        <w:ind w:left="1439" w:leftChars="228" w:hanging="960" w:hangingChars="400"/>
        <w:jc w:val="left"/>
        <w:textAlignment w:val="auto"/>
        <w:rPr>
          <w:rFonts w:hint="eastAsia" w:ascii="仿宋" w:hAnsi="仿宋" w:eastAsia="仿宋" w:cs="楷体"/>
          <w:bCs/>
          <w:sz w:val="24"/>
          <w:lang w:val="en-US" w:eastAsia="zh-CN"/>
        </w:rPr>
      </w:pPr>
      <w:r>
        <w:rPr>
          <w:rFonts w:hint="eastAsia" w:ascii="仿宋" w:hAnsi="仿宋" w:eastAsia="仿宋" w:cs="楷体"/>
          <w:bCs/>
          <w:sz w:val="24"/>
          <w:lang w:val="en-US" w:eastAsia="zh-CN"/>
        </w:rPr>
        <w:t>计算公式=</w:t>
      </w:r>
      <w:r>
        <w:rPr>
          <w:rFonts w:hint="default" w:ascii="仿宋" w:hAnsi="仿宋" w:eastAsia="仿宋" w:cs="楷体"/>
          <w:bCs/>
          <w:i w:val="0"/>
          <w:iCs w:val="0"/>
          <w:caps w:val="0"/>
          <w:spacing w:val="0"/>
          <w:sz w:val="24"/>
          <w:szCs w:val="24"/>
          <w:shd w:val="clear" w:color="auto" w:fill="auto"/>
          <w:lang w:val="en-US" w:eastAsia="zh-CN"/>
        </w:rPr>
        <w:t>（</w:t>
      </w:r>
      <w:r>
        <w:rPr>
          <w:rFonts w:hint="eastAsia" w:ascii="仿宋" w:hAnsi="仿宋" w:eastAsia="仿宋" w:cs="楷体"/>
          <w:bCs/>
          <w:sz w:val="24"/>
          <w:lang w:val="en-US" w:eastAsia="zh-CN"/>
        </w:rPr>
        <w:t>30,400元+45,600元+86,600元+16,400元+22,280元+8,320元+10,920元+10,000元+23,052元+11,526元</w:t>
      </w:r>
      <w:r>
        <w:rPr>
          <w:rFonts w:hint="default" w:ascii="仿宋" w:hAnsi="仿宋" w:eastAsia="仿宋" w:cs="楷体"/>
          <w:bCs/>
          <w:i w:val="0"/>
          <w:iCs w:val="0"/>
          <w:caps w:val="0"/>
          <w:spacing w:val="0"/>
          <w:sz w:val="24"/>
          <w:szCs w:val="24"/>
          <w:shd w:val="clear" w:color="auto" w:fill="auto"/>
          <w:lang w:val="en-US" w:eastAsia="zh-CN"/>
        </w:rPr>
        <w:t>）</w:t>
      </w:r>
      <w:r>
        <w:rPr>
          <w:rFonts w:hint="eastAsia" w:ascii="仿宋" w:hAnsi="仿宋" w:eastAsia="仿宋" w:cs="楷体"/>
          <w:bCs/>
          <w:sz w:val="24"/>
          <w:lang w:val="en-US" w:eastAsia="zh-CN"/>
        </w:rPr>
        <w:t>×8.5%=22,533元</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楷体"/>
          <w:b w:val="0"/>
          <w:bCs/>
          <w:sz w:val="24"/>
        </w:rPr>
      </w:pPr>
      <w:r>
        <w:rPr>
          <w:rFonts w:hint="eastAsia" w:ascii="仿宋" w:hAnsi="仿宋" w:eastAsia="仿宋" w:cs="楷体"/>
          <w:b w:val="0"/>
          <w:bCs/>
          <w:sz w:val="24"/>
          <w:lang w:val="en-US" w:eastAsia="zh-CN"/>
        </w:rPr>
        <w:t>12、</w:t>
      </w:r>
      <w:r>
        <w:rPr>
          <w:rFonts w:hint="eastAsia" w:ascii="仿宋" w:hAnsi="仿宋" w:eastAsia="仿宋" w:cs="楷体"/>
          <w:b w:val="0"/>
          <w:bCs/>
          <w:sz w:val="24"/>
        </w:rPr>
        <w:t>成本</w:t>
      </w:r>
      <w:r>
        <w:rPr>
          <w:rFonts w:hint="eastAsia" w:ascii="仿宋" w:hAnsi="仿宋" w:eastAsia="仿宋" w:cs="楷体"/>
          <w:b w:val="0"/>
          <w:bCs/>
          <w:sz w:val="24"/>
          <w:lang w:val="en-US" w:eastAsia="zh-CN"/>
        </w:rPr>
        <w:t>测算</w:t>
      </w:r>
      <w:r>
        <w:rPr>
          <w:rFonts w:hint="eastAsia" w:ascii="仿宋" w:hAnsi="仿宋" w:eastAsia="仿宋" w:cs="楷体"/>
          <w:b w:val="0"/>
          <w:bCs/>
          <w:sz w:val="24"/>
        </w:rPr>
        <w:t>汇总</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楷体"/>
          <w:bCs/>
          <w:sz w:val="24"/>
        </w:rPr>
      </w:pPr>
      <w:r>
        <w:rPr>
          <w:rFonts w:hint="eastAsia" w:ascii="仿宋" w:hAnsi="仿宋" w:eastAsia="仿宋" w:cs="楷体"/>
          <w:bCs/>
          <w:sz w:val="24"/>
        </w:rPr>
        <w:t>综上所述，</w:t>
      </w:r>
      <w:r>
        <w:rPr>
          <w:rFonts w:hint="eastAsia" w:ascii="仿宋" w:hAnsi="仿宋" w:eastAsia="仿宋" w:cs="楷体"/>
          <w:bCs/>
          <w:sz w:val="24"/>
          <w:szCs w:val="24"/>
          <w:lang w:val="en-US" w:eastAsia="zh-CN"/>
        </w:rPr>
        <w:t>一个评估面积为1500多平方公里（涉及乡镇数量为15个）的县域林地定级和基准地价评估服务成本</w:t>
      </w:r>
      <w:r>
        <w:rPr>
          <w:rFonts w:hint="eastAsia" w:ascii="仿宋" w:hAnsi="仿宋" w:eastAsia="仿宋" w:cs="楷体"/>
          <w:bCs/>
          <w:sz w:val="24"/>
        </w:rPr>
        <w:t>汇总如下表：</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center"/>
        <w:textAlignment w:val="auto"/>
        <w:rPr>
          <w:rFonts w:hint="default" w:ascii="仿宋" w:hAnsi="仿宋" w:eastAsia="仿宋" w:cs="楷体"/>
          <w:bCs/>
          <w:sz w:val="24"/>
          <w:lang w:val="en-US" w:eastAsia="zh-CN"/>
        </w:rPr>
      </w:pPr>
      <w:r>
        <w:rPr>
          <w:rFonts w:hint="eastAsia" w:ascii="仿宋" w:hAnsi="仿宋" w:eastAsia="仿宋" w:cs="楷体"/>
          <w:b/>
          <w:sz w:val="24"/>
          <w:lang w:val="en-US" w:eastAsia="zh-CN"/>
        </w:rPr>
        <w:t xml:space="preserve">     江西省林地定级和基准地价评估服务成本</w:t>
      </w:r>
      <w:r>
        <w:rPr>
          <w:rFonts w:hint="eastAsia" w:ascii="仿宋" w:hAnsi="仿宋" w:eastAsia="仿宋" w:cs="楷体"/>
          <w:b/>
          <w:sz w:val="24"/>
          <w:lang w:eastAsia="zh-CN"/>
        </w:rPr>
        <w:t>汇总</w:t>
      </w:r>
      <w:r>
        <w:rPr>
          <w:rFonts w:hint="eastAsia" w:ascii="仿宋" w:hAnsi="仿宋" w:eastAsia="仿宋" w:cs="楷体"/>
          <w:b/>
          <w:sz w:val="24"/>
          <w:lang w:val="en-US" w:eastAsia="zh-CN"/>
        </w:rPr>
        <w:t>表</w:t>
      </w:r>
      <w:r>
        <w:rPr>
          <w:rFonts w:hint="eastAsia" w:ascii="仿宋" w:hAnsi="仿宋" w:eastAsia="仿宋" w:cs="楷体"/>
          <w:bCs/>
          <w:sz w:val="24"/>
          <w:lang w:val="en-US" w:eastAsia="zh-CN"/>
        </w:rPr>
        <w:t xml:space="preserve">    </w:t>
      </w:r>
      <w:r>
        <w:rPr>
          <w:rFonts w:hint="eastAsia" w:ascii="仿宋" w:hAnsi="仿宋" w:eastAsia="仿宋" w:cs="楷体"/>
          <w:bCs/>
          <w:sz w:val="21"/>
          <w:szCs w:val="21"/>
          <w:lang w:val="en-US" w:eastAsia="zh-CN"/>
        </w:rPr>
        <w:t>表15</w:t>
      </w:r>
    </w:p>
    <w:tbl>
      <w:tblPr>
        <w:tblStyle w:val="7"/>
        <w:tblW w:w="705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63"/>
        <w:gridCol w:w="3591"/>
        <w:gridCol w:w="2596"/>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00" w:hRule="atLeast"/>
          <w:jc w:val="center"/>
        </w:trPr>
        <w:tc>
          <w:tcPr>
            <w:tcW w:w="863" w:type="dxa"/>
            <w:tcBorders>
              <w:top w:val="single" w:color="73C652" w:sz="12" w:space="0"/>
              <w:left w:val="single" w:color="73C652" w:sz="12" w:space="0"/>
              <w:bottom w:val="single" w:color="73C652" w:sz="4" w:space="0"/>
              <w:right w:val="dotted" w:color="auto" w:sz="4"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3591" w:type="dxa"/>
            <w:tcBorders>
              <w:top w:val="single" w:color="73C652" w:sz="12"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项目名称</w:t>
            </w:r>
          </w:p>
        </w:tc>
        <w:tc>
          <w:tcPr>
            <w:tcW w:w="2596" w:type="dxa"/>
            <w:tcBorders>
              <w:top w:val="single" w:color="73C652" w:sz="12" w:space="0"/>
              <w:left w:val="dotted" w:color="auto" w:sz="4" w:space="0"/>
              <w:bottom w:val="single" w:color="73C652" w:sz="4" w:space="0"/>
              <w:right w:val="single" w:color="73C652" w:sz="12"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成本金额（元）</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37" w:hRule="atLeast"/>
          <w:jc w:val="center"/>
        </w:trPr>
        <w:tc>
          <w:tcPr>
            <w:tcW w:w="863" w:type="dxa"/>
            <w:tcBorders>
              <w:top w:val="single" w:color="73C652"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3591"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资料收集与整理成本</w:t>
            </w:r>
          </w:p>
        </w:tc>
        <w:tc>
          <w:tcPr>
            <w:tcW w:w="2596" w:type="dxa"/>
            <w:tcBorders>
              <w:top w:val="single" w:color="73C652" w:sz="4" w:space="0"/>
              <w:left w:val="dotted" w:color="auto" w:sz="4" w:space="0"/>
              <w:bottom w:val="dotted" w:color="auto" w:sz="4" w:space="0"/>
              <w:right w:val="single" w:color="73C652" w:sz="12"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30,400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0" w:hRule="atLeast"/>
          <w:jc w:val="center"/>
        </w:trPr>
        <w:tc>
          <w:tcPr>
            <w:tcW w:w="863"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3591"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外业调查成本</w:t>
            </w:r>
          </w:p>
        </w:tc>
        <w:tc>
          <w:tcPr>
            <w:tcW w:w="2596" w:type="dxa"/>
            <w:tcBorders>
              <w:top w:val="dotted" w:color="auto" w:sz="4" w:space="0"/>
              <w:left w:val="dotted" w:color="auto" w:sz="4" w:space="0"/>
              <w:bottom w:val="dotted" w:color="auto" w:sz="4" w:space="0"/>
              <w:right w:val="single" w:color="73C652" w:sz="12"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45,600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63"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3591"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内业处理（包括定级、基准地价评估与确定、基准地价系数表编制）成本</w:t>
            </w:r>
          </w:p>
        </w:tc>
        <w:tc>
          <w:tcPr>
            <w:tcW w:w="2596" w:type="dxa"/>
            <w:tcBorders>
              <w:top w:val="dotted" w:color="auto" w:sz="4" w:space="0"/>
              <w:left w:val="dotted" w:color="auto" w:sz="4" w:space="0"/>
              <w:bottom w:val="dotted" w:color="auto" w:sz="4" w:space="0"/>
              <w:right w:val="single" w:color="73C652" w:sz="12"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86,600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863"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3591"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成果编制成本</w:t>
            </w:r>
          </w:p>
        </w:tc>
        <w:tc>
          <w:tcPr>
            <w:tcW w:w="2596" w:type="dxa"/>
            <w:tcBorders>
              <w:top w:val="dotted" w:color="auto" w:sz="4" w:space="0"/>
              <w:left w:val="dotted" w:color="auto" w:sz="4" w:space="0"/>
              <w:bottom w:val="dotted" w:color="auto" w:sz="4" w:space="0"/>
              <w:right w:val="single" w:color="73C652" w:sz="12"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16,400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863"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3591"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意见征询成本</w:t>
            </w:r>
          </w:p>
        </w:tc>
        <w:tc>
          <w:tcPr>
            <w:tcW w:w="2596" w:type="dxa"/>
            <w:tcBorders>
              <w:top w:val="dotted" w:color="auto" w:sz="4" w:space="0"/>
              <w:left w:val="dotted" w:color="auto" w:sz="4" w:space="0"/>
              <w:bottom w:val="dotted" w:color="auto" w:sz="4" w:space="0"/>
              <w:right w:val="single" w:color="73C652" w:sz="12"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22,280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53" w:hRule="atLeast"/>
          <w:jc w:val="center"/>
        </w:trPr>
        <w:tc>
          <w:tcPr>
            <w:tcW w:w="863"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3591"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听证会成本</w:t>
            </w:r>
          </w:p>
        </w:tc>
        <w:tc>
          <w:tcPr>
            <w:tcW w:w="2596" w:type="dxa"/>
            <w:tcBorders>
              <w:top w:val="dotted" w:color="auto" w:sz="4" w:space="0"/>
              <w:left w:val="dotted" w:color="auto" w:sz="4" w:space="0"/>
              <w:bottom w:val="dotted" w:color="auto" w:sz="4" w:space="0"/>
              <w:right w:val="single" w:color="73C652" w:sz="12"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8,320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27" w:hRule="atLeast"/>
          <w:jc w:val="center"/>
        </w:trPr>
        <w:tc>
          <w:tcPr>
            <w:tcW w:w="863"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3591"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成果验收成本</w:t>
            </w:r>
          </w:p>
        </w:tc>
        <w:tc>
          <w:tcPr>
            <w:tcW w:w="2596" w:type="dxa"/>
            <w:tcBorders>
              <w:top w:val="dotted" w:color="auto" w:sz="4" w:space="0"/>
              <w:left w:val="dotted" w:color="auto" w:sz="4" w:space="0"/>
              <w:bottom w:val="dotted" w:color="auto" w:sz="4" w:space="0"/>
              <w:right w:val="single" w:color="73C652" w:sz="12"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10,920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0" w:hRule="atLeast"/>
          <w:jc w:val="center"/>
        </w:trPr>
        <w:tc>
          <w:tcPr>
            <w:tcW w:w="863"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3591"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招标代理、管理费用</w:t>
            </w:r>
          </w:p>
        </w:tc>
        <w:tc>
          <w:tcPr>
            <w:tcW w:w="2596" w:type="dxa"/>
            <w:tcBorders>
              <w:top w:val="dotted" w:color="auto" w:sz="4" w:space="0"/>
              <w:left w:val="dotted" w:color="auto" w:sz="4" w:space="0"/>
              <w:bottom w:val="dotted" w:color="auto" w:sz="4" w:space="0"/>
              <w:right w:val="single" w:color="73C652" w:sz="12"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33,052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863"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3591"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不可预见费</w:t>
            </w:r>
          </w:p>
        </w:tc>
        <w:tc>
          <w:tcPr>
            <w:tcW w:w="2596" w:type="dxa"/>
            <w:tcBorders>
              <w:top w:val="dotted" w:color="auto" w:sz="4" w:space="0"/>
              <w:left w:val="dotted" w:color="auto" w:sz="4" w:space="0"/>
              <w:bottom w:val="dotted" w:color="auto" w:sz="4" w:space="0"/>
              <w:right w:val="single" w:color="73C652" w:sz="12"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11,526</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863"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3591"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利润</w:t>
            </w:r>
          </w:p>
        </w:tc>
        <w:tc>
          <w:tcPr>
            <w:tcW w:w="2596" w:type="dxa"/>
            <w:tcBorders>
              <w:top w:val="dotted" w:color="auto" w:sz="4" w:space="0"/>
              <w:left w:val="dotted" w:color="auto" w:sz="4" w:space="0"/>
              <w:bottom w:val="dotted" w:color="auto" w:sz="4" w:space="0"/>
              <w:right w:val="single" w:color="73C652" w:sz="12"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13,255</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5" w:hRule="atLeast"/>
          <w:jc w:val="center"/>
        </w:trPr>
        <w:tc>
          <w:tcPr>
            <w:tcW w:w="863"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3591"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税费</w:t>
            </w:r>
          </w:p>
        </w:tc>
        <w:tc>
          <w:tcPr>
            <w:tcW w:w="2596" w:type="dxa"/>
            <w:tcBorders>
              <w:top w:val="dotted" w:color="auto" w:sz="4" w:space="0"/>
              <w:left w:val="dotted" w:color="auto" w:sz="4" w:space="0"/>
              <w:bottom w:val="dotted" w:color="auto" w:sz="4" w:space="0"/>
              <w:right w:val="single" w:color="73C652" w:sz="12"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22,533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5" w:hRule="atLeast"/>
          <w:jc w:val="center"/>
        </w:trPr>
        <w:tc>
          <w:tcPr>
            <w:tcW w:w="863" w:type="dxa"/>
            <w:tcBorders>
              <w:top w:val="dotted" w:color="auto" w:sz="4" w:space="0"/>
              <w:left w:val="single" w:color="73C652" w:sz="12" w:space="0"/>
              <w:bottom w:val="single" w:color="73C652" w:sz="12" w:space="0"/>
              <w:right w:val="dotted" w:color="auto" w:sz="4"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合计</w:t>
            </w:r>
          </w:p>
        </w:tc>
        <w:tc>
          <w:tcPr>
            <w:tcW w:w="3591" w:type="dxa"/>
            <w:tcBorders>
              <w:top w:val="dotted" w:color="auto" w:sz="4" w:space="0"/>
              <w:left w:val="dotted" w:color="auto" w:sz="4" w:space="0"/>
              <w:bottom w:val="single" w:color="73C652" w:sz="12" w:space="0"/>
              <w:right w:val="dotted" w:color="auto" w:sz="4" w:space="0"/>
              <w:tl2br w:val="nil"/>
              <w:tr2bl w:val="nil"/>
            </w:tcBorders>
            <w:shd w:val="clear" w:color="auto" w:fill="97D57F"/>
            <w:vAlign w:val="center"/>
          </w:tcPr>
          <w:p>
            <w:pPr>
              <w:jc w:val="center"/>
              <w:rPr>
                <w:rFonts w:hint="eastAsia" w:ascii="仿宋" w:hAnsi="仿宋" w:eastAsia="仿宋" w:cs="仿宋"/>
                <w:b/>
                <w:bCs/>
                <w:i w:val="0"/>
                <w:iCs w:val="0"/>
                <w:color w:val="000000"/>
                <w:sz w:val="21"/>
                <w:szCs w:val="21"/>
                <w:u w:val="none"/>
              </w:rPr>
            </w:pPr>
          </w:p>
        </w:tc>
        <w:tc>
          <w:tcPr>
            <w:tcW w:w="2596" w:type="dxa"/>
            <w:tcBorders>
              <w:top w:val="dotted" w:color="auto" w:sz="4" w:space="0"/>
              <w:left w:val="dotted" w:color="auto" w:sz="4" w:space="0"/>
              <w:bottom w:val="single" w:color="73C652" w:sz="12" w:space="0"/>
              <w:right w:val="single" w:color="73C652" w:sz="12"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300,886</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仿宋" w:hAnsi="仿宋" w:eastAsia="仿宋" w:cs="楷体"/>
          <w:b/>
          <w:bCs w:val="0"/>
          <w:sz w:val="24"/>
          <w:szCs w:val="24"/>
          <w:lang w:val="en-US" w:eastAsia="zh-CN"/>
        </w:rPr>
      </w:pPr>
      <w:r>
        <w:rPr>
          <w:rFonts w:hint="eastAsia" w:ascii="仿宋" w:hAnsi="仿宋" w:eastAsia="仿宋" w:cs="楷体"/>
          <w:b/>
          <w:bCs w:val="0"/>
          <w:sz w:val="24"/>
          <w:szCs w:val="24"/>
          <w:lang w:val="en-US" w:eastAsia="zh-CN"/>
        </w:rPr>
        <w:t>（三）江西省园地林地草地定级和基准地价评估服务成本测算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通过</w:t>
      </w:r>
      <w:r>
        <w:rPr>
          <w:rFonts w:hint="eastAsia" w:ascii="仿宋" w:hAnsi="仿宋" w:eastAsia="仿宋" w:cs="楷体"/>
          <w:b w:val="0"/>
          <w:bCs w:val="0"/>
          <w:color w:val="000000"/>
          <w:sz w:val="21"/>
          <w:szCs w:val="21"/>
          <w:lang w:val="en-US" w:eastAsia="zh-CN"/>
        </w:rPr>
        <w:t>上述（二）</w:t>
      </w:r>
      <w:r>
        <w:rPr>
          <w:rFonts w:hint="eastAsia" w:ascii="仿宋" w:hAnsi="仿宋" w:eastAsia="仿宋" w:cs="楷体"/>
          <w:bCs/>
          <w:sz w:val="24"/>
          <w:szCs w:val="24"/>
          <w:lang w:val="en-US" w:eastAsia="zh-CN"/>
        </w:rPr>
        <w:t>测算可知，一个评估面积为1500多平方公里（涉及乡镇数量为15个）的县域林地定级和基准地价评估服务成本为</w:t>
      </w:r>
      <w:r>
        <w:rPr>
          <w:rFonts w:hint="eastAsia" w:ascii="仿宋" w:hAnsi="仿宋" w:eastAsia="仿宋" w:cs="楷体"/>
          <w:b/>
          <w:bCs w:val="0"/>
          <w:sz w:val="24"/>
          <w:szCs w:val="24"/>
          <w:u w:val="single"/>
          <w:lang w:val="en-US" w:eastAsia="zh-CN"/>
        </w:rPr>
        <w:t>300,886元</w:t>
      </w:r>
      <w:r>
        <w:rPr>
          <w:rFonts w:hint="eastAsia" w:ascii="仿宋" w:hAnsi="仿宋" w:eastAsia="仿宋" w:cs="楷体"/>
          <w:bCs/>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园地、草地定级和基准地价评估工作与林地定级和基准地价评估工作具有一定的相似性，根据江西省的区域特征并结合各地类定级及基准地价评估的难度系数与地类面积大小确定园地、草地定级和基准地价评估服务工作成本及园地林地草地定级和基准地价综合服务成本如下表：</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default" w:ascii="仿宋" w:hAnsi="仿宋" w:eastAsia="仿宋" w:cs="楷体"/>
          <w:b/>
          <w:sz w:val="24"/>
          <w:lang w:val="en-US" w:eastAsia="zh-CN"/>
        </w:rPr>
      </w:pPr>
      <w:r>
        <w:rPr>
          <w:rFonts w:hint="eastAsia" w:ascii="仿宋" w:hAnsi="仿宋" w:eastAsia="仿宋" w:cs="楷体"/>
          <w:b/>
          <w:sz w:val="24"/>
          <w:lang w:val="en-US" w:eastAsia="zh-CN"/>
        </w:rPr>
        <w:t xml:space="preserve">   江西省园地、林地、草地定级和基准地价评估服务成本测算结果表        </w:t>
      </w:r>
      <w:r>
        <w:rPr>
          <w:rFonts w:hint="eastAsia" w:ascii="仿宋" w:hAnsi="仿宋" w:eastAsia="仿宋" w:cs="楷体"/>
          <w:b w:val="0"/>
          <w:bCs/>
          <w:sz w:val="21"/>
          <w:szCs w:val="21"/>
          <w:lang w:val="en-US" w:eastAsia="zh-CN"/>
        </w:rPr>
        <w:t>表16</w:t>
      </w:r>
    </w:p>
    <w:tbl>
      <w:tblPr>
        <w:tblStyle w:val="7"/>
        <w:tblW w:w="9165"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45"/>
        <w:gridCol w:w="3027"/>
        <w:gridCol w:w="1775"/>
        <w:gridCol w:w="3518"/>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00" w:hRule="atLeast"/>
          <w:jc w:val="center"/>
        </w:trPr>
        <w:tc>
          <w:tcPr>
            <w:tcW w:w="845" w:type="dxa"/>
            <w:tcBorders>
              <w:top w:val="single" w:color="73C652" w:sz="12" w:space="0"/>
              <w:left w:val="single" w:color="73C652" w:sz="12" w:space="0"/>
              <w:bottom w:val="single" w:color="73C652" w:sz="4" w:space="0"/>
              <w:right w:val="dotted" w:color="auto" w:sz="4"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序号</w:t>
            </w:r>
          </w:p>
        </w:tc>
        <w:tc>
          <w:tcPr>
            <w:tcW w:w="3027" w:type="dxa"/>
            <w:tcBorders>
              <w:top w:val="single" w:color="73C652" w:sz="12"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项目名称</w:t>
            </w:r>
          </w:p>
        </w:tc>
        <w:tc>
          <w:tcPr>
            <w:tcW w:w="1775" w:type="dxa"/>
            <w:tcBorders>
              <w:top w:val="single" w:color="73C652" w:sz="12" w:space="0"/>
              <w:left w:val="dotted" w:color="auto" w:sz="4" w:space="0"/>
              <w:bottom w:val="single" w:color="73C652" w:sz="4" w:space="0"/>
              <w:right w:val="dotted" w:color="auto" w:sz="12"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成本金额（万元）</w:t>
            </w:r>
          </w:p>
        </w:tc>
        <w:tc>
          <w:tcPr>
            <w:tcW w:w="3518" w:type="dxa"/>
            <w:tcBorders>
              <w:top w:val="single" w:color="73C652" w:sz="12" w:space="0"/>
              <w:left w:val="dotted" w:color="auto" w:sz="4" w:space="0"/>
              <w:bottom w:val="single" w:color="73C652" w:sz="4" w:space="0"/>
              <w:right w:val="single" w:color="73C652" w:sz="12" w:space="0"/>
              <w:tl2br w:val="nil"/>
              <w:tr2bl w:val="nil"/>
            </w:tcBorders>
            <w:shd w:val="clear" w:color="auto" w:fill="97D57F"/>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845" w:type="dxa"/>
            <w:tcBorders>
              <w:top w:val="single" w:color="73C652"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3027"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楷体"/>
                <w:b/>
                <w:bCs/>
                <w:color w:val="000000"/>
                <w:sz w:val="21"/>
                <w:szCs w:val="21"/>
                <w:lang w:val="en-US" w:eastAsia="zh-CN"/>
              </w:rPr>
              <w:t>林地</w:t>
            </w:r>
            <w:r>
              <w:rPr>
                <w:rFonts w:hint="eastAsia" w:ascii="仿宋" w:hAnsi="仿宋" w:eastAsia="仿宋" w:cs="楷体"/>
                <w:b w:val="0"/>
                <w:bCs w:val="0"/>
                <w:color w:val="000000"/>
                <w:sz w:val="21"/>
                <w:szCs w:val="21"/>
                <w:lang w:val="en-US" w:eastAsia="zh-CN"/>
              </w:rPr>
              <w:t>定级和基准地价评估服务成本</w:t>
            </w:r>
          </w:p>
        </w:tc>
        <w:tc>
          <w:tcPr>
            <w:tcW w:w="1775" w:type="dxa"/>
            <w:tcBorders>
              <w:top w:val="single" w:color="73C652" w:sz="4" w:space="0"/>
              <w:left w:val="dotted" w:color="auto" w:sz="4" w:space="0"/>
              <w:bottom w:val="dotted" w:color="auto" w:sz="4" w:space="0"/>
              <w:right w:val="dotted" w:color="auto" w:sz="12" w:space="0"/>
              <w:tl2br w:val="nil"/>
              <w:tr2bl w:val="nil"/>
            </w:tcBorders>
            <w:shd w:val="clear" w:color="auto" w:fill="F1FAED"/>
            <w:vAlign w:val="center"/>
          </w:tcPr>
          <w:p>
            <w:pPr>
              <w:keepNext w:val="0"/>
              <w:keepLines w:val="0"/>
              <w:widowControl/>
              <w:suppressLineNumbers w:val="0"/>
              <w:jc w:val="center"/>
              <w:textAlignment w:val="center"/>
              <w:rPr>
                <w:rFonts w:hint="default" w:ascii="仿宋" w:hAnsi="仿宋" w:eastAsia="仿宋" w:cs="楷体"/>
                <w:b w:val="0"/>
                <w:bCs w:val="0"/>
                <w:color w:val="000000"/>
                <w:sz w:val="21"/>
                <w:szCs w:val="21"/>
                <w:lang w:val="en-US" w:eastAsia="zh-CN"/>
              </w:rPr>
            </w:pPr>
            <w:r>
              <w:rPr>
                <w:rFonts w:hint="eastAsia" w:ascii="仿宋" w:hAnsi="仿宋" w:eastAsia="仿宋" w:cs="楷体"/>
                <w:b w:val="0"/>
                <w:bCs w:val="0"/>
                <w:color w:val="000000"/>
                <w:sz w:val="21"/>
                <w:szCs w:val="21"/>
                <w:lang w:val="en-US" w:eastAsia="zh-CN"/>
              </w:rPr>
              <w:t>30.09</w:t>
            </w:r>
          </w:p>
        </w:tc>
        <w:tc>
          <w:tcPr>
            <w:tcW w:w="3518" w:type="dxa"/>
            <w:tcBorders>
              <w:top w:val="single" w:color="73C652" w:sz="4" w:space="0"/>
              <w:left w:val="dotted" w:color="auto" w:sz="4" w:space="0"/>
              <w:bottom w:val="dotted" w:color="auto" w:sz="4" w:space="0"/>
              <w:right w:val="single" w:color="73C652" w:sz="12" w:space="0"/>
              <w:tl2br w:val="nil"/>
              <w:tr2bl w:val="nil"/>
            </w:tcBorders>
            <w:shd w:val="clear" w:color="auto" w:fill="CEECC3"/>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楷体"/>
                <w:b w:val="0"/>
                <w:bCs w:val="0"/>
                <w:color w:val="000000"/>
                <w:sz w:val="21"/>
                <w:szCs w:val="21"/>
                <w:lang w:val="en-US" w:eastAsia="zh-CN"/>
              </w:rPr>
              <w:t>通过上述（二）测算得来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0" w:hRule="atLeast"/>
          <w:jc w:val="center"/>
        </w:trPr>
        <w:tc>
          <w:tcPr>
            <w:tcW w:w="845"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w:t>
            </w:r>
          </w:p>
        </w:tc>
        <w:tc>
          <w:tcPr>
            <w:tcW w:w="3027"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楷体"/>
                <w:b/>
                <w:bCs/>
                <w:color w:val="000000"/>
                <w:sz w:val="21"/>
                <w:szCs w:val="21"/>
                <w:lang w:val="en-US" w:eastAsia="zh-CN"/>
              </w:rPr>
              <w:t>园地</w:t>
            </w:r>
            <w:r>
              <w:rPr>
                <w:rFonts w:hint="eastAsia" w:ascii="仿宋" w:hAnsi="仿宋" w:eastAsia="仿宋" w:cs="楷体"/>
                <w:b w:val="0"/>
                <w:bCs w:val="0"/>
                <w:color w:val="000000"/>
                <w:sz w:val="21"/>
                <w:szCs w:val="21"/>
                <w:lang w:val="en-US" w:eastAsia="zh-CN"/>
              </w:rPr>
              <w:t>定级和基准地价评估服务成本</w:t>
            </w:r>
          </w:p>
        </w:tc>
        <w:tc>
          <w:tcPr>
            <w:tcW w:w="1775" w:type="dxa"/>
            <w:tcBorders>
              <w:top w:val="dotted" w:color="auto" w:sz="4" w:space="0"/>
              <w:left w:val="dotted" w:color="auto" w:sz="4" w:space="0"/>
              <w:bottom w:val="dotted" w:color="auto" w:sz="4" w:space="0"/>
              <w:right w:val="dotted" w:color="auto" w:sz="12" w:space="0"/>
              <w:tl2br w:val="nil"/>
              <w:tr2bl w:val="nil"/>
            </w:tcBorders>
            <w:shd w:val="clear" w:color="auto" w:fill="F1FAED"/>
            <w:vAlign w:val="center"/>
          </w:tcPr>
          <w:p>
            <w:pPr>
              <w:keepNext w:val="0"/>
              <w:keepLines w:val="0"/>
              <w:widowControl/>
              <w:suppressLineNumbers w:val="0"/>
              <w:jc w:val="center"/>
              <w:textAlignment w:val="center"/>
              <w:rPr>
                <w:rFonts w:hint="default" w:ascii="仿宋" w:hAnsi="仿宋" w:eastAsia="仿宋" w:cs="楷体"/>
                <w:b w:val="0"/>
                <w:bCs w:val="0"/>
                <w:color w:val="000000"/>
                <w:sz w:val="21"/>
                <w:szCs w:val="21"/>
                <w:lang w:val="en-US" w:eastAsia="zh-CN"/>
              </w:rPr>
            </w:pPr>
            <w:r>
              <w:rPr>
                <w:rFonts w:hint="eastAsia" w:ascii="仿宋" w:hAnsi="仿宋" w:eastAsia="仿宋" w:cs="楷体"/>
                <w:b w:val="0"/>
                <w:bCs w:val="0"/>
                <w:color w:val="000000"/>
                <w:sz w:val="21"/>
                <w:szCs w:val="21"/>
                <w:lang w:val="en-US" w:eastAsia="zh-CN"/>
              </w:rPr>
              <w:t>24.07</w:t>
            </w:r>
          </w:p>
        </w:tc>
        <w:tc>
          <w:tcPr>
            <w:tcW w:w="3518" w:type="dxa"/>
            <w:tcBorders>
              <w:top w:val="dotted" w:color="auto" w:sz="4" w:space="0"/>
              <w:left w:val="dotted" w:color="auto" w:sz="4" w:space="0"/>
              <w:bottom w:val="dotted" w:color="auto" w:sz="4" w:space="0"/>
              <w:right w:val="single" w:color="73C652" w:sz="12" w:space="0"/>
              <w:tl2br w:val="nil"/>
              <w:tr2bl w:val="nil"/>
            </w:tcBorders>
            <w:shd w:val="clear" w:color="auto" w:fill="FFFFFF"/>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考虑到</w:t>
            </w:r>
            <w:r>
              <w:rPr>
                <w:rFonts w:hint="eastAsia" w:ascii="仿宋" w:hAnsi="仿宋" w:eastAsia="仿宋" w:cs="仿宋"/>
                <w:b/>
                <w:bCs/>
                <w:i w:val="0"/>
                <w:iCs w:val="0"/>
                <w:color w:val="000000"/>
                <w:kern w:val="0"/>
                <w:sz w:val="21"/>
                <w:szCs w:val="21"/>
                <w:u w:val="none"/>
                <w:lang w:val="en-US" w:eastAsia="zh-CN" w:bidi="ar"/>
              </w:rPr>
              <w:t>园地面积较林地小，估价难度系数高于林地</w:t>
            </w:r>
            <w:r>
              <w:rPr>
                <w:rFonts w:hint="eastAsia" w:ascii="仿宋" w:hAnsi="仿宋" w:eastAsia="仿宋" w:cs="仿宋"/>
                <w:b w:val="0"/>
                <w:bCs w:val="0"/>
                <w:i w:val="0"/>
                <w:iCs w:val="0"/>
                <w:color w:val="000000"/>
                <w:kern w:val="0"/>
                <w:sz w:val="21"/>
                <w:szCs w:val="21"/>
                <w:u w:val="none"/>
                <w:lang w:val="en-US" w:eastAsia="zh-CN" w:bidi="ar"/>
              </w:rPr>
              <w:t>，</w:t>
            </w:r>
            <w:r>
              <w:rPr>
                <w:rFonts w:hint="eastAsia" w:ascii="仿宋" w:hAnsi="仿宋" w:eastAsia="仿宋" w:cs="楷体"/>
                <w:b w:val="0"/>
                <w:bCs w:val="0"/>
                <w:color w:val="000000"/>
                <w:sz w:val="21"/>
                <w:szCs w:val="21"/>
                <w:lang w:val="en-US" w:eastAsia="zh-CN"/>
              </w:rPr>
              <w:t>园地定级和基准地价评估服务成本取林地定级和基准地价评估服务成本的</w:t>
            </w:r>
            <w:r>
              <w:rPr>
                <w:rFonts w:hint="eastAsia" w:ascii="仿宋" w:hAnsi="仿宋" w:eastAsia="仿宋" w:cs="楷体"/>
                <w:b/>
                <w:bCs/>
                <w:color w:val="000000"/>
                <w:sz w:val="21"/>
                <w:szCs w:val="21"/>
                <w:lang w:val="en-US" w:eastAsia="zh-CN"/>
              </w:rPr>
              <w:t>0.8倍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845"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w:t>
            </w:r>
          </w:p>
        </w:tc>
        <w:tc>
          <w:tcPr>
            <w:tcW w:w="3027"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楷体"/>
                <w:b/>
                <w:bCs/>
                <w:color w:val="000000"/>
                <w:sz w:val="21"/>
                <w:szCs w:val="21"/>
                <w:lang w:val="en-US" w:eastAsia="zh-CN"/>
              </w:rPr>
              <w:t>草地</w:t>
            </w:r>
            <w:r>
              <w:rPr>
                <w:rFonts w:hint="eastAsia" w:ascii="仿宋" w:hAnsi="仿宋" w:eastAsia="仿宋" w:cs="楷体"/>
                <w:b w:val="0"/>
                <w:bCs w:val="0"/>
                <w:color w:val="000000"/>
                <w:sz w:val="21"/>
                <w:szCs w:val="21"/>
                <w:lang w:val="en-US" w:eastAsia="zh-CN"/>
              </w:rPr>
              <w:t>定级和基准地价评估服务成本</w:t>
            </w:r>
          </w:p>
        </w:tc>
        <w:tc>
          <w:tcPr>
            <w:tcW w:w="1775" w:type="dxa"/>
            <w:tcBorders>
              <w:top w:val="dotted" w:color="auto" w:sz="4" w:space="0"/>
              <w:left w:val="dotted" w:color="auto" w:sz="4" w:space="0"/>
              <w:bottom w:val="dotted" w:color="auto" w:sz="4" w:space="0"/>
              <w:right w:val="dotted" w:color="auto" w:sz="12" w:space="0"/>
              <w:tl2br w:val="nil"/>
              <w:tr2bl w:val="nil"/>
            </w:tcBorders>
            <w:shd w:val="clear" w:color="auto" w:fill="F1FAED"/>
            <w:vAlign w:val="center"/>
          </w:tcPr>
          <w:p>
            <w:pPr>
              <w:keepNext w:val="0"/>
              <w:keepLines w:val="0"/>
              <w:widowControl/>
              <w:suppressLineNumbers w:val="0"/>
              <w:jc w:val="center"/>
              <w:textAlignment w:val="center"/>
              <w:rPr>
                <w:rFonts w:hint="default" w:ascii="仿宋" w:hAnsi="仿宋" w:eastAsia="仿宋" w:cs="楷体"/>
                <w:b w:val="0"/>
                <w:bCs w:val="0"/>
                <w:color w:val="000000"/>
                <w:sz w:val="21"/>
                <w:szCs w:val="21"/>
                <w:lang w:val="en-US" w:eastAsia="zh-CN"/>
              </w:rPr>
            </w:pPr>
            <w:r>
              <w:rPr>
                <w:rFonts w:hint="eastAsia" w:ascii="仿宋" w:hAnsi="仿宋" w:eastAsia="仿宋" w:cs="楷体"/>
                <w:b w:val="0"/>
                <w:bCs w:val="0"/>
                <w:color w:val="000000"/>
                <w:sz w:val="21"/>
                <w:szCs w:val="21"/>
                <w:lang w:val="en-US" w:eastAsia="zh-CN"/>
              </w:rPr>
              <w:t>6.02</w:t>
            </w:r>
          </w:p>
        </w:tc>
        <w:tc>
          <w:tcPr>
            <w:tcW w:w="3518" w:type="dxa"/>
            <w:tcBorders>
              <w:top w:val="dotted" w:color="auto" w:sz="4" w:space="0"/>
              <w:left w:val="dotted" w:color="auto" w:sz="4" w:space="0"/>
              <w:bottom w:val="dotted" w:color="auto" w:sz="4" w:space="0"/>
              <w:right w:val="single" w:color="73C652" w:sz="12"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考虑到</w:t>
            </w:r>
            <w:r>
              <w:rPr>
                <w:rFonts w:hint="eastAsia" w:ascii="仿宋" w:hAnsi="仿宋" w:eastAsia="仿宋" w:cs="仿宋"/>
                <w:b/>
                <w:bCs/>
                <w:i w:val="0"/>
                <w:iCs w:val="0"/>
                <w:color w:val="000000"/>
                <w:kern w:val="0"/>
                <w:sz w:val="21"/>
                <w:szCs w:val="21"/>
                <w:u w:val="none"/>
                <w:lang w:val="en-US" w:eastAsia="zh-CN" w:bidi="ar"/>
              </w:rPr>
              <w:t>草地面积较林地小且估价难度系数较低</w:t>
            </w:r>
            <w:r>
              <w:rPr>
                <w:rFonts w:hint="eastAsia" w:ascii="仿宋" w:hAnsi="仿宋" w:eastAsia="仿宋" w:cs="仿宋"/>
                <w:b w:val="0"/>
                <w:bCs w:val="0"/>
                <w:i w:val="0"/>
                <w:iCs w:val="0"/>
                <w:color w:val="000000"/>
                <w:kern w:val="0"/>
                <w:sz w:val="21"/>
                <w:szCs w:val="21"/>
                <w:u w:val="none"/>
                <w:lang w:val="en-US" w:eastAsia="zh-CN" w:bidi="ar"/>
              </w:rPr>
              <w:t>，草地定级和基准地价评估服务成本取林地定</w:t>
            </w:r>
            <w:r>
              <w:rPr>
                <w:rFonts w:hint="eastAsia" w:ascii="仿宋" w:hAnsi="仿宋" w:eastAsia="仿宋" w:cs="楷体"/>
                <w:b w:val="0"/>
                <w:bCs w:val="0"/>
                <w:color w:val="000000"/>
                <w:sz w:val="21"/>
                <w:szCs w:val="21"/>
                <w:lang w:val="en-US" w:eastAsia="zh-CN"/>
              </w:rPr>
              <w:t>级和基准地价评估服务成本的</w:t>
            </w:r>
            <w:r>
              <w:rPr>
                <w:rFonts w:hint="eastAsia" w:ascii="仿宋" w:hAnsi="仿宋" w:eastAsia="仿宋" w:cs="楷体"/>
                <w:b/>
                <w:bCs/>
                <w:color w:val="000000"/>
                <w:sz w:val="21"/>
                <w:szCs w:val="21"/>
                <w:lang w:val="en-US" w:eastAsia="zh-CN"/>
              </w:rPr>
              <w:t>0.2倍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845" w:type="dxa"/>
            <w:tcBorders>
              <w:top w:val="dotted" w:color="auto" w:sz="4" w:space="0"/>
              <w:left w:val="single" w:color="73C652" w:sz="12" w:space="0"/>
              <w:bottom w:val="single" w:color="73C652" w:sz="4" w:space="0"/>
              <w:right w:val="dotted" w:color="auto" w:sz="4"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w:t>
            </w:r>
          </w:p>
        </w:tc>
        <w:tc>
          <w:tcPr>
            <w:tcW w:w="3027" w:type="dxa"/>
            <w:tcBorders>
              <w:top w:val="dotted" w:color="auto" w:sz="4"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楷体"/>
                <w:b w:val="0"/>
                <w:bCs w:val="0"/>
                <w:color w:val="000000"/>
                <w:sz w:val="21"/>
                <w:szCs w:val="21"/>
                <w:lang w:val="en-US" w:eastAsia="zh-CN"/>
              </w:rPr>
              <w:t>江西省</w:t>
            </w:r>
            <w:r>
              <w:rPr>
                <w:rFonts w:hint="eastAsia" w:ascii="仿宋" w:hAnsi="仿宋" w:eastAsia="仿宋" w:cs="楷体"/>
                <w:b/>
                <w:bCs/>
                <w:color w:val="000000"/>
                <w:sz w:val="21"/>
                <w:szCs w:val="21"/>
                <w:lang w:val="en-US" w:eastAsia="zh-CN"/>
              </w:rPr>
              <w:t>园地林地草地</w:t>
            </w:r>
            <w:r>
              <w:rPr>
                <w:rFonts w:hint="eastAsia" w:ascii="仿宋" w:hAnsi="仿宋" w:eastAsia="仿宋" w:cs="楷体"/>
                <w:b w:val="0"/>
                <w:bCs w:val="0"/>
                <w:color w:val="000000"/>
                <w:sz w:val="21"/>
                <w:szCs w:val="21"/>
                <w:lang w:val="en-US" w:eastAsia="zh-CN"/>
              </w:rPr>
              <w:t>定级和基准地价评估</w:t>
            </w:r>
            <w:r>
              <w:rPr>
                <w:rFonts w:hint="eastAsia" w:ascii="仿宋" w:hAnsi="仿宋" w:eastAsia="仿宋" w:cs="楷体"/>
                <w:b/>
                <w:bCs/>
                <w:color w:val="000000"/>
                <w:sz w:val="21"/>
                <w:szCs w:val="21"/>
                <w:lang w:val="en-US" w:eastAsia="zh-CN"/>
              </w:rPr>
              <w:t>综合服务成本</w:t>
            </w:r>
          </w:p>
        </w:tc>
        <w:tc>
          <w:tcPr>
            <w:tcW w:w="1775" w:type="dxa"/>
            <w:tcBorders>
              <w:top w:val="dotted" w:color="auto" w:sz="4" w:space="0"/>
              <w:left w:val="dotted" w:color="auto" w:sz="4" w:space="0"/>
              <w:bottom w:val="single" w:color="73C652" w:sz="4" w:space="0"/>
              <w:right w:val="dotted" w:color="auto" w:sz="12" w:space="0"/>
              <w:tl2br w:val="nil"/>
              <w:tr2bl w:val="nil"/>
            </w:tcBorders>
            <w:shd w:val="clear" w:color="auto" w:fill="97D57F"/>
            <w:vAlign w:val="center"/>
          </w:tcPr>
          <w:p>
            <w:pPr>
              <w:keepNext w:val="0"/>
              <w:keepLines w:val="0"/>
              <w:widowControl/>
              <w:suppressLineNumbers w:val="0"/>
              <w:jc w:val="center"/>
              <w:textAlignment w:val="center"/>
              <w:rPr>
                <w:rFonts w:hint="default" w:ascii="仿宋" w:hAnsi="仿宋" w:eastAsia="仿宋" w:cs="楷体"/>
                <w:b w:val="0"/>
                <w:bCs w:val="0"/>
                <w:color w:val="000000"/>
                <w:sz w:val="21"/>
                <w:szCs w:val="21"/>
                <w:lang w:val="en-US" w:eastAsia="zh-CN"/>
              </w:rPr>
            </w:pPr>
            <w:r>
              <w:rPr>
                <w:rFonts w:hint="eastAsia" w:ascii="仿宋" w:hAnsi="仿宋" w:eastAsia="仿宋" w:cs="楷体"/>
                <w:b w:val="0"/>
                <w:bCs w:val="0"/>
                <w:color w:val="000000"/>
                <w:sz w:val="21"/>
                <w:szCs w:val="21"/>
                <w:lang w:val="en-US" w:eastAsia="zh-CN"/>
              </w:rPr>
              <w:t>60.18</w:t>
            </w:r>
          </w:p>
        </w:tc>
        <w:tc>
          <w:tcPr>
            <w:tcW w:w="3518" w:type="dxa"/>
            <w:tcBorders>
              <w:top w:val="dotted" w:color="auto" w:sz="4" w:space="0"/>
              <w:left w:val="dotted" w:color="auto" w:sz="4" w:space="0"/>
              <w:bottom w:val="single" w:color="73C652" w:sz="4" w:space="0"/>
              <w:right w:val="single" w:color="73C652" w:sz="12" w:space="0"/>
              <w:tl2br w:val="nil"/>
              <w:tr2bl w:val="nil"/>
            </w:tcBorders>
            <w:shd w:val="clear" w:color="auto" w:fill="97D57F"/>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上述三项成本合计</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eastAsia" w:ascii="仿宋" w:hAnsi="仿宋" w:eastAsia="仿宋" w:cs="楷体"/>
          <w:b/>
          <w:sz w:val="24"/>
          <w:lang w:val="en-US" w:eastAsia="zh-CN"/>
        </w:rPr>
      </w:pPr>
    </w:p>
    <w:p>
      <w:pPr>
        <w:keepNext w:val="0"/>
        <w:keepLines w:val="0"/>
        <w:pageBreakBefore w:val="0"/>
        <w:kinsoku/>
        <w:wordWrap/>
        <w:overflowPunct/>
        <w:topLinePunct w:val="0"/>
        <w:autoSpaceDE/>
        <w:autoSpaceDN/>
        <w:bidi w:val="0"/>
        <w:adjustRightInd/>
        <w:snapToGrid/>
        <w:spacing w:line="560" w:lineRule="exact"/>
        <w:ind w:firstLine="562" w:firstLineChars="200"/>
        <w:jc w:val="left"/>
        <w:textAlignment w:val="auto"/>
        <w:rPr>
          <w:rFonts w:hint="eastAsia" w:ascii="仿宋" w:hAnsi="仿宋" w:eastAsia="仿宋" w:cs="方正楷体_GB2312"/>
          <w:b/>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方正楷体_GB2312"/>
          <w:bCs/>
          <w:color w:val="000000"/>
          <w:sz w:val="28"/>
          <w:szCs w:val="28"/>
        </w:rPr>
      </w:pPr>
      <w:r>
        <w:rPr>
          <w:rFonts w:hint="eastAsia" w:ascii="仿宋" w:hAnsi="仿宋" w:eastAsia="仿宋" w:cs="方正楷体_GB2312"/>
          <w:b/>
          <w:color w:val="000000"/>
          <w:sz w:val="28"/>
          <w:szCs w:val="28"/>
          <w:lang w:eastAsia="zh-CN"/>
        </w:rPr>
        <w:t>十、</w:t>
      </w:r>
      <w:r>
        <w:rPr>
          <w:rFonts w:hint="eastAsia" w:ascii="仿宋" w:hAnsi="仿宋" w:eastAsia="仿宋" w:cs="方正楷体_GB2312"/>
          <w:b/>
          <w:color w:val="000000"/>
          <w:sz w:val="28"/>
          <w:szCs w:val="28"/>
        </w:rPr>
        <w:t>调研结论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Cs/>
          <w:color w:val="000000"/>
          <w:sz w:val="24"/>
          <w:lang w:val="en-US" w:eastAsia="zh-CN"/>
        </w:rPr>
      </w:pPr>
      <w:r>
        <w:rPr>
          <w:rFonts w:hint="eastAsia" w:ascii="仿宋" w:hAnsi="仿宋" w:eastAsia="仿宋" w:cs="仿宋"/>
          <w:bCs/>
          <w:color w:val="000000"/>
          <w:sz w:val="24"/>
          <w:lang w:eastAsia="zh-CN"/>
        </w:rPr>
        <w:t>（</w:t>
      </w:r>
      <w:r>
        <w:rPr>
          <w:rFonts w:hint="eastAsia" w:ascii="仿宋" w:hAnsi="仿宋" w:eastAsia="仿宋" w:cs="仿宋"/>
          <w:bCs/>
          <w:color w:val="000000"/>
          <w:sz w:val="24"/>
          <w:lang w:val="en-US" w:eastAsia="zh-CN"/>
        </w:rPr>
        <w:t>一</w:t>
      </w:r>
      <w:r>
        <w:rPr>
          <w:rFonts w:hint="eastAsia" w:ascii="仿宋" w:hAnsi="仿宋" w:eastAsia="仿宋" w:cs="仿宋"/>
          <w:bCs/>
          <w:color w:val="000000"/>
          <w:sz w:val="24"/>
          <w:lang w:eastAsia="zh-CN"/>
        </w:rPr>
        <w:t>）</w:t>
      </w:r>
      <w:r>
        <w:rPr>
          <w:rFonts w:hint="eastAsia" w:ascii="仿宋" w:hAnsi="仿宋" w:eastAsia="仿宋" w:cs="仿宋"/>
          <w:bCs/>
          <w:color w:val="000000"/>
          <w:sz w:val="24"/>
          <w:lang w:val="en-US" w:eastAsia="zh-CN"/>
        </w:rPr>
        <w:t>调研结果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000000"/>
          <w:sz w:val="24"/>
          <w:lang w:eastAsia="zh-CN"/>
        </w:rPr>
      </w:pPr>
      <w:r>
        <w:rPr>
          <w:rFonts w:hint="eastAsia" w:ascii="仿宋" w:hAnsi="仿宋" w:eastAsia="仿宋" w:cs="仿宋"/>
          <w:bCs/>
          <w:color w:val="000000"/>
          <w:sz w:val="24"/>
        </w:rPr>
        <w:t>根据上述调研</w:t>
      </w:r>
      <w:r>
        <w:rPr>
          <w:rFonts w:hint="eastAsia" w:ascii="仿宋" w:hAnsi="仿宋" w:eastAsia="仿宋" w:cs="仿宋"/>
          <w:bCs/>
          <w:color w:val="000000"/>
          <w:sz w:val="24"/>
          <w:lang w:eastAsia="zh-CN"/>
        </w:rPr>
        <w:t>及成本测算，统计分析得出以下调研及测算成果：</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000000"/>
          <w:sz w:val="24"/>
          <w:lang w:eastAsia="zh-CN"/>
        </w:rPr>
      </w:pPr>
      <w:r>
        <w:rPr>
          <w:rFonts w:hint="eastAsia" w:ascii="仿宋" w:hAnsi="仿宋" w:eastAsia="仿宋" w:cs="仿宋"/>
          <w:bCs/>
          <w:color w:val="000000"/>
          <w:sz w:val="24"/>
          <w:lang w:val="en-US" w:eastAsia="zh-CN"/>
        </w:rPr>
        <w:t>类比结果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000000"/>
          <w:sz w:val="24"/>
          <w:lang w:eastAsia="zh-CN"/>
        </w:rPr>
      </w:pPr>
      <w:r>
        <w:rPr>
          <w:rFonts w:hint="eastAsia" w:ascii="仿宋" w:hAnsi="仿宋" w:eastAsia="仿宋" w:cs="仿宋"/>
          <w:bCs/>
          <w:color w:val="000000"/>
          <w:sz w:val="24"/>
          <w:lang w:val="en-US" w:eastAsia="zh-CN"/>
        </w:rPr>
        <w:t>全国</w:t>
      </w:r>
      <w:r>
        <w:rPr>
          <w:rFonts w:hint="eastAsia" w:ascii="仿宋" w:hAnsi="仿宋" w:eastAsia="仿宋" w:cs="仿宋"/>
          <w:bCs/>
          <w:color w:val="000000"/>
          <w:sz w:val="24"/>
          <w:lang w:eastAsia="zh-CN"/>
        </w:rPr>
        <w:t>园地林地草地定级和基准地价评估服务收费（预算）情况如下表：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仿宋" w:hAnsi="仿宋" w:eastAsia="仿宋" w:cs="仿宋"/>
          <w:b/>
          <w:bCs w:val="0"/>
          <w:color w:val="000000"/>
          <w:sz w:val="24"/>
          <w:lang w:val="en-US" w:eastAsia="zh-CN"/>
        </w:rPr>
      </w:pPr>
      <w:r>
        <w:rPr>
          <w:rFonts w:hint="eastAsia" w:ascii="仿宋" w:hAnsi="仿宋" w:eastAsia="仿宋" w:cs="仿宋"/>
          <w:b/>
          <w:bCs w:val="0"/>
          <w:color w:val="000000"/>
          <w:sz w:val="24"/>
          <w:lang w:val="en-US" w:eastAsia="zh-CN"/>
        </w:rPr>
        <w:t xml:space="preserve">        </w:t>
      </w:r>
      <w:r>
        <w:rPr>
          <w:rFonts w:hint="eastAsia" w:ascii="仿宋" w:hAnsi="仿宋" w:eastAsia="仿宋" w:cs="仿宋"/>
          <w:b/>
          <w:bCs w:val="0"/>
          <w:color w:val="000000"/>
          <w:sz w:val="24"/>
          <w:lang w:eastAsia="zh-CN"/>
        </w:rPr>
        <w:t>园地林地草地定级和基准地价评估服务收费（预算）汇总表</w:t>
      </w:r>
      <w:r>
        <w:rPr>
          <w:rFonts w:hint="eastAsia" w:ascii="仿宋" w:hAnsi="仿宋" w:eastAsia="仿宋" w:cs="仿宋"/>
          <w:b/>
          <w:bCs w:val="0"/>
          <w:color w:val="000000"/>
          <w:sz w:val="24"/>
          <w:lang w:val="en-US" w:eastAsia="zh-CN"/>
        </w:rPr>
        <w:t xml:space="preserve">     </w:t>
      </w:r>
      <w:r>
        <w:rPr>
          <w:rFonts w:hint="eastAsia" w:ascii="仿宋" w:hAnsi="仿宋" w:eastAsia="仿宋" w:cs="仿宋"/>
          <w:b w:val="0"/>
          <w:bCs/>
          <w:color w:val="000000"/>
          <w:sz w:val="21"/>
          <w:szCs w:val="21"/>
          <w:lang w:val="en-US" w:eastAsia="zh-CN"/>
        </w:rPr>
        <w:t>表17</w:t>
      </w:r>
    </w:p>
    <w:tbl>
      <w:tblPr>
        <w:tblStyle w:val="8"/>
        <w:tblW w:w="0" w:type="auto"/>
        <w:tblInd w:w="9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650"/>
        <w:gridCol w:w="1450"/>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06" w:type="dxa"/>
            <w:tcBorders>
              <w:top w:val="single" w:color="73C652" w:sz="4" w:space="0"/>
              <w:left w:val="single" w:color="73C652"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序号</w:t>
            </w:r>
          </w:p>
        </w:tc>
        <w:tc>
          <w:tcPr>
            <w:tcW w:w="2650" w:type="dxa"/>
            <w:tcBorders>
              <w:top w:val="single" w:color="73C652" w:sz="4" w:space="0"/>
              <w:left w:val="dotted" w:color="auto"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评估范围面积（平方公里）</w:t>
            </w:r>
          </w:p>
        </w:tc>
        <w:tc>
          <w:tcPr>
            <w:tcW w:w="1450" w:type="dxa"/>
            <w:tcBorders>
              <w:top w:val="single" w:color="73C652" w:sz="4" w:space="0"/>
              <w:left w:val="dotted" w:color="auto"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项目数量</w:t>
            </w:r>
          </w:p>
        </w:tc>
        <w:tc>
          <w:tcPr>
            <w:tcW w:w="2850" w:type="dxa"/>
            <w:tcBorders>
              <w:top w:val="single" w:color="73C652" w:sz="4" w:space="0"/>
              <w:left w:val="dotted" w:color="auto" w:sz="4" w:space="0"/>
              <w:bottom w:val="single" w:color="73C652" w:sz="4" w:space="0"/>
              <w:right w:val="single" w:color="73C652"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每个项目的平均收费（预算）费用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006" w:type="dxa"/>
            <w:tcBorders>
              <w:top w:val="single" w:color="73C652" w:sz="4" w:space="0"/>
              <w:left w:val="single" w:color="73C652"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1</w:t>
            </w:r>
          </w:p>
        </w:tc>
        <w:tc>
          <w:tcPr>
            <w:tcW w:w="2650" w:type="dxa"/>
            <w:tcBorders>
              <w:top w:val="single" w:color="73C652" w:sz="4" w:space="0"/>
              <w:left w:val="dotted" w:color="auto" w:sz="4" w:space="0"/>
              <w:bottom w:val="dotted" w:color="auto" w:sz="4" w:space="0"/>
              <w:right w:val="dotted" w:color="auto" w:sz="4" w:space="0"/>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＜1000</w:t>
            </w:r>
          </w:p>
        </w:tc>
        <w:tc>
          <w:tcPr>
            <w:tcW w:w="1450" w:type="dxa"/>
            <w:tcBorders>
              <w:top w:val="single" w:color="73C652" w:sz="4" w:space="0"/>
              <w:left w:val="dotted" w:color="auto"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10</w:t>
            </w:r>
          </w:p>
        </w:tc>
        <w:tc>
          <w:tcPr>
            <w:tcW w:w="2850" w:type="dxa"/>
            <w:tcBorders>
              <w:top w:val="single" w:color="73C652" w:sz="4" w:space="0"/>
              <w:left w:val="dotted" w:color="auto" w:sz="4" w:space="0"/>
              <w:bottom w:val="dotted" w:color="auto" w:sz="4" w:space="0"/>
              <w:right w:val="single" w:color="73C652" w:sz="4" w:space="0"/>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34.27万元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006" w:type="dxa"/>
            <w:tcBorders>
              <w:top w:val="dotted" w:color="auto" w:sz="4" w:space="0"/>
              <w:left w:val="single" w:color="73C652"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2</w:t>
            </w:r>
          </w:p>
        </w:tc>
        <w:tc>
          <w:tcPr>
            <w:tcW w:w="2650" w:type="dxa"/>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1000≤S＜2000</w:t>
            </w:r>
          </w:p>
        </w:tc>
        <w:tc>
          <w:tcPr>
            <w:tcW w:w="1450" w:type="dxa"/>
            <w:tcBorders>
              <w:top w:val="dotted" w:color="auto" w:sz="4" w:space="0"/>
              <w:left w:val="dotted" w:color="auto"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7</w:t>
            </w:r>
          </w:p>
        </w:tc>
        <w:tc>
          <w:tcPr>
            <w:tcW w:w="2850" w:type="dxa"/>
            <w:tcBorders>
              <w:top w:val="dotted" w:color="auto" w:sz="4" w:space="0"/>
              <w:left w:val="dotted" w:color="auto" w:sz="4" w:space="0"/>
              <w:bottom w:val="dotted" w:color="auto" w:sz="4" w:space="0"/>
              <w:right w:val="single" w:color="73C652"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41.74万元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006" w:type="dxa"/>
            <w:tcBorders>
              <w:top w:val="dotted" w:color="auto" w:sz="4" w:space="0"/>
              <w:left w:val="single" w:color="73C652"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3</w:t>
            </w:r>
          </w:p>
        </w:tc>
        <w:tc>
          <w:tcPr>
            <w:tcW w:w="2650" w:type="dxa"/>
            <w:tcBorders>
              <w:top w:val="dotted" w:color="auto" w:sz="4" w:space="0"/>
              <w:left w:val="dotted" w:color="auto" w:sz="4" w:space="0"/>
              <w:bottom w:val="dotted" w:color="auto" w:sz="4" w:space="0"/>
              <w:right w:val="dotted" w:color="auto" w:sz="4" w:space="0"/>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2000≤S＜3000</w:t>
            </w:r>
          </w:p>
        </w:tc>
        <w:tc>
          <w:tcPr>
            <w:tcW w:w="1450" w:type="dxa"/>
            <w:tcBorders>
              <w:top w:val="dotted" w:color="auto" w:sz="4" w:space="0"/>
              <w:left w:val="dotted" w:color="auto" w:sz="4" w:space="0"/>
              <w:bottom w:val="dotted" w:color="auto" w:sz="4" w:space="0"/>
              <w:right w:val="dotted" w:color="auto" w:sz="4" w:space="0"/>
            </w:tcBorders>
            <w:shd w:val="clear" w:color="auto" w:fill="F1FAED"/>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8</w:t>
            </w:r>
          </w:p>
        </w:tc>
        <w:tc>
          <w:tcPr>
            <w:tcW w:w="2850" w:type="dxa"/>
            <w:tcBorders>
              <w:top w:val="dotted" w:color="auto" w:sz="4" w:space="0"/>
              <w:left w:val="dotted" w:color="auto" w:sz="4" w:space="0"/>
              <w:bottom w:val="dotted" w:color="auto" w:sz="4" w:space="0"/>
              <w:right w:val="single" w:color="73C652" w:sz="4" w:space="0"/>
            </w:tcBorders>
            <w:shd w:val="clear" w:color="auto" w:fill="CEECC3"/>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60.38万元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006" w:type="dxa"/>
            <w:tcBorders>
              <w:top w:val="dotted" w:color="auto" w:sz="4" w:space="0"/>
              <w:left w:val="single" w:color="73C652"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4</w:t>
            </w:r>
          </w:p>
        </w:tc>
        <w:tc>
          <w:tcPr>
            <w:tcW w:w="2650" w:type="dxa"/>
            <w:tcBorders>
              <w:top w:val="dotted" w:color="auto" w:sz="4" w:space="0"/>
              <w:left w:val="dotted" w:color="auto"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≥3000</w:t>
            </w:r>
          </w:p>
        </w:tc>
        <w:tc>
          <w:tcPr>
            <w:tcW w:w="1450" w:type="dxa"/>
            <w:tcBorders>
              <w:top w:val="dotted" w:color="auto" w:sz="4" w:space="0"/>
              <w:left w:val="dotted" w:color="auto" w:sz="4" w:space="0"/>
              <w:bottom w:val="single" w:color="73C652" w:sz="4" w:space="0"/>
              <w:right w:val="dotted" w:color="auto" w:sz="4" w:space="0"/>
            </w:tcBorders>
            <w:shd w:val="clear" w:color="auto" w:fill="97D57F"/>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16</w:t>
            </w:r>
          </w:p>
        </w:tc>
        <w:tc>
          <w:tcPr>
            <w:tcW w:w="2850" w:type="dxa"/>
            <w:tcBorders>
              <w:top w:val="dotted" w:color="auto" w:sz="4" w:space="0"/>
              <w:left w:val="dotted" w:color="auto" w:sz="4" w:space="0"/>
              <w:bottom w:val="single" w:color="73C652" w:sz="4" w:space="0"/>
              <w:right w:val="single" w:color="73C652" w:sz="4" w:space="0"/>
            </w:tcBorders>
            <w:shd w:val="clear" w:color="auto" w:fill="97D57F"/>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eastAsia="zh-CN"/>
              </w:rPr>
            </w:pPr>
            <w:r>
              <w:rPr>
                <w:rFonts w:hint="eastAsia" w:ascii="仿宋" w:hAnsi="仿宋" w:eastAsia="仿宋" w:cs="仿宋"/>
                <w:i w:val="0"/>
                <w:iCs w:val="0"/>
                <w:color w:val="000000"/>
                <w:sz w:val="21"/>
                <w:szCs w:val="21"/>
                <w:u w:val="none"/>
                <w:lang w:val="en-US" w:eastAsia="zh-CN"/>
              </w:rPr>
              <w:t>98.61万元</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仿宋" w:hAnsi="仿宋" w:eastAsia="仿宋" w:cs="仿宋"/>
          <w:bCs/>
          <w:color w:val="000000"/>
          <w:sz w:val="24"/>
          <w:lang w:val="en-US" w:eastAsia="zh-CN"/>
        </w:rPr>
      </w:pPr>
      <w:r>
        <w:rPr>
          <w:rFonts w:hint="eastAsia" w:ascii="仿宋" w:hAnsi="仿宋" w:eastAsia="仿宋" w:cs="仿宋"/>
          <w:bCs/>
          <w:color w:val="000000"/>
          <w:sz w:val="24"/>
          <w:lang w:val="en-US" w:eastAsia="zh-CN"/>
        </w:rPr>
        <w:t>2、测算结果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通过江西省林地定级和基准地价评估服务成本测算可知，一个评估面积为1500多平方公里（涉及乡镇数量为15个）的县域林地定级和基准地价评估服务成本为</w:t>
      </w:r>
      <w:r>
        <w:rPr>
          <w:rFonts w:hint="eastAsia" w:ascii="仿宋" w:hAnsi="仿宋" w:eastAsia="仿宋" w:cs="楷体"/>
          <w:b/>
          <w:bCs w:val="0"/>
          <w:sz w:val="24"/>
          <w:szCs w:val="24"/>
          <w:u w:val="single"/>
          <w:lang w:val="en-US" w:eastAsia="zh-CN"/>
        </w:rPr>
        <w:t>300,886元</w:t>
      </w:r>
      <w:r>
        <w:rPr>
          <w:rFonts w:hint="eastAsia" w:ascii="仿宋" w:hAnsi="仿宋" w:eastAsia="仿宋" w:cs="楷体"/>
          <w:bCs/>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楷体"/>
          <w:bCs/>
          <w:sz w:val="24"/>
          <w:szCs w:val="24"/>
          <w:lang w:val="en-US" w:eastAsia="zh-CN"/>
        </w:rPr>
      </w:pPr>
      <w:r>
        <w:rPr>
          <w:rFonts w:hint="eastAsia" w:ascii="仿宋" w:hAnsi="仿宋" w:eastAsia="仿宋" w:cs="楷体"/>
          <w:bCs/>
          <w:sz w:val="24"/>
          <w:szCs w:val="24"/>
          <w:lang w:val="en-US" w:eastAsia="zh-CN"/>
        </w:rPr>
        <w:t>园地、草地定级和基准地价评估工作与林地级和基准地价评估工作具有一定的相似性，根据江西省的区域特征并结合各地类定级及基准地价评估的难度系数与地类面积大小确定园地、草地定级和基准地价评估服务工作成本及园地林地草地定级和基准地价综合服务成本如下表：</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right"/>
        <w:textAlignment w:val="auto"/>
        <w:rPr>
          <w:rFonts w:hint="eastAsia" w:ascii="仿宋" w:hAnsi="仿宋" w:eastAsia="仿宋" w:cs="楷体"/>
          <w:b w:val="0"/>
          <w:bCs/>
          <w:sz w:val="21"/>
          <w:szCs w:val="21"/>
          <w:lang w:val="en-US" w:eastAsia="zh-CN"/>
        </w:rPr>
      </w:pPr>
      <w:r>
        <w:rPr>
          <w:rFonts w:hint="eastAsia" w:ascii="仿宋" w:hAnsi="仿宋" w:eastAsia="仿宋" w:cs="楷体"/>
          <w:b/>
          <w:sz w:val="24"/>
          <w:lang w:val="en-US" w:eastAsia="zh-CN"/>
        </w:rPr>
        <w:t xml:space="preserve">    江西省园地、林地、草地定级和基准地价评估服务成本测算结果表     </w:t>
      </w:r>
      <w:r>
        <w:rPr>
          <w:rFonts w:hint="eastAsia" w:ascii="仿宋" w:hAnsi="仿宋" w:eastAsia="仿宋" w:cs="楷体"/>
          <w:b w:val="0"/>
          <w:bCs/>
          <w:sz w:val="21"/>
          <w:szCs w:val="21"/>
          <w:lang w:val="en-US" w:eastAsia="zh-CN"/>
        </w:rPr>
        <w:t>同表16</w:t>
      </w:r>
    </w:p>
    <w:tbl>
      <w:tblPr>
        <w:tblStyle w:val="7"/>
        <w:tblW w:w="9165"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45"/>
        <w:gridCol w:w="2883"/>
        <w:gridCol w:w="1733"/>
        <w:gridCol w:w="3704"/>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00" w:hRule="atLeast"/>
          <w:jc w:val="center"/>
        </w:trPr>
        <w:tc>
          <w:tcPr>
            <w:tcW w:w="845" w:type="dxa"/>
            <w:tcBorders>
              <w:top w:val="single" w:color="73C652" w:sz="12" w:space="0"/>
              <w:left w:val="single" w:color="73C652" w:sz="12" w:space="0"/>
              <w:bottom w:val="single" w:color="73C652" w:sz="4" w:space="0"/>
              <w:right w:val="dotted" w:color="auto" w:sz="4"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序号</w:t>
            </w:r>
          </w:p>
        </w:tc>
        <w:tc>
          <w:tcPr>
            <w:tcW w:w="2883" w:type="dxa"/>
            <w:tcBorders>
              <w:top w:val="single" w:color="73C652" w:sz="12"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项目名称</w:t>
            </w:r>
          </w:p>
        </w:tc>
        <w:tc>
          <w:tcPr>
            <w:tcW w:w="1733" w:type="dxa"/>
            <w:tcBorders>
              <w:top w:val="single" w:color="73C652" w:sz="12" w:space="0"/>
              <w:left w:val="dotted" w:color="auto" w:sz="4" w:space="0"/>
              <w:bottom w:val="single" w:color="73C652" w:sz="4" w:space="0"/>
              <w:right w:val="dotted" w:color="auto" w:sz="12"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成本金额（万元）</w:t>
            </w:r>
          </w:p>
        </w:tc>
        <w:tc>
          <w:tcPr>
            <w:tcW w:w="3704" w:type="dxa"/>
            <w:tcBorders>
              <w:top w:val="single" w:color="73C652" w:sz="12" w:space="0"/>
              <w:left w:val="dotted" w:color="auto" w:sz="4" w:space="0"/>
              <w:bottom w:val="single" w:color="73C652" w:sz="4" w:space="0"/>
              <w:right w:val="single" w:color="73C652" w:sz="12" w:space="0"/>
              <w:tl2br w:val="nil"/>
              <w:tr2bl w:val="nil"/>
            </w:tcBorders>
            <w:shd w:val="clear" w:color="auto" w:fill="97D57F"/>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37" w:hRule="atLeast"/>
          <w:jc w:val="center"/>
        </w:trPr>
        <w:tc>
          <w:tcPr>
            <w:tcW w:w="845" w:type="dxa"/>
            <w:tcBorders>
              <w:top w:val="single" w:color="73C652"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2883" w:type="dxa"/>
            <w:tcBorders>
              <w:top w:val="single" w:color="73C652"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楷体"/>
                <w:b/>
                <w:bCs/>
                <w:color w:val="000000"/>
                <w:sz w:val="21"/>
                <w:szCs w:val="21"/>
                <w:lang w:val="en-US" w:eastAsia="zh-CN"/>
              </w:rPr>
              <w:t>林地</w:t>
            </w:r>
            <w:r>
              <w:rPr>
                <w:rFonts w:hint="eastAsia" w:ascii="仿宋" w:hAnsi="仿宋" w:eastAsia="仿宋" w:cs="楷体"/>
                <w:b w:val="0"/>
                <w:bCs w:val="0"/>
                <w:color w:val="000000"/>
                <w:sz w:val="21"/>
                <w:szCs w:val="21"/>
                <w:lang w:val="en-US" w:eastAsia="zh-CN"/>
              </w:rPr>
              <w:t>定级和基准地价评估服务成本</w:t>
            </w:r>
          </w:p>
        </w:tc>
        <w:tc>
          <w:tcPr>
            <w:tcW w:w="1733" w:type="dxa"/>
            <w:tcBorders>
              <w:top w:val="single" w:color="73C652" w:sz="4" w:space="0"/>
              <w:left w:val="dotted" w:color="auto" w:sz="4" w:space="0"/>
              <w:bottom w:val="dotted" w:color="auto" w:sz="4" w:space="0"/>
              <w:right w:val="dotted" w:color="auto" w:sz="12" w:space="0"/>
              <w:tl2br w:val="nil"/>
              <w:tr2bl w:val="nil"/>
            </w:tcBorders>
            <w:shd w:val="clear" w:color="auto" w:fill="F1FAED"/>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30.09</w:t>
            </w:r>
          </w:p>
        </w:tc>
        <w:tc>
          <w:tcPr>
            <w:tcW w:w="3704" w:type="dxa"/>
            <w:tcBorders>
              <w:top w:val="single" w:color="73C652" w:sz="4" w:space="0"/>
              <w:left w:val="dotted" w:color="auto" w:sz="4" w:space="0"/>
              <w:bottom w:val="dotted" w:color="auto" w:sz="4" w:space="0"/>
              <w:right w:val="single" w:color="73C652" w:sz="12" w:space="0"/>
              <w:tl2br w:val="nil"/>
              <w:tr2bl w:val="nil"/>
            </w:tcBorders>
            <w:shd w:val="clear" w:color="auto" w:fill="CEECC3"/>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楷体"/>
                <w:b w:val="0"/>
                <w:bCs w:val="0"/>
                <w:color w:val="000000"/>
                <w:sz w:val="21"/>
                <w:szCs w:val="21"/>
                <w:lang w:val="en-US" w:eastAsia="zh-CN"/>
              </w:rPr>
              <w:t>通过测算得来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0" w:hRule="atLeast"/>
          <w:jc w:val="center"/>
        </w:trPr>
        <w:tc>
          <w:tcPr>
            <w:tcW w:w="845"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w:t>
            </w:r>
          </w:p>
        </w:tc>
        <w:tc>
          <w:tcPr>
            <w:tcW w:w="2883" w:type="dxa"/>
            <w:tcBorders>
              <w:top w:val="dotted" w:color="auto" w:sz="4" w:space="0"/>
              <w:left w:val="dotted" w:color="auto" w:sz="4" w:space="0"/>
              <w:bottom w:val="dotted" w:color="auto" w:sz="4" w:space="0"/>
              <w:right w:val="dotted" w:color="auto" w:sz="4" w:space="0"/>
              <w:tl2br w:val="nil"/>
              <w:tr2bl w:val="nil"/>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楷体"/>
                <w:b/>
                <w:bCs/>
                <w:color w:val="000000"/>
                <w:sz w:val="21"/>
                <w:szCs w:val="21"/>
                <w:lang w:val="en-US" w:eastAsia="zh-CN"/>
              </w:rPr>
              <w:t>园地</w:t>
            </w:r>
            <w:r>
              <w:rPr>
                <w:rFonts w:hint="eastAsia" w:ascii="仿宋" w:hAnsi="仿宋" w:eastAsia="仿宋" w:cs="楷体"/>
                <w:b w:val="0"/>
                <w:bCs w:val="0"/>
                <w:color w:val="000000"/>
                <w:sz w:val="21"/>
                <w:szCs w:val="21"/>
                <w:lang w:val="en-US" w:eastAsia="zh-CN"/>
              </w:rPr>
              <w:t>定级和基准地价评估服务成本</w:t>
            </w:r>
          </w:p>
        </w:tc>
        <w:tc>
          <w:tcPr>
            <w:tcW w:w="1733" w:type="dxa"/>
            <w:tcBorders>
              <w:top w:val="dotted" w:color="auto" w:sz="4" w:space="0"/>
              <w:left w:val="dotted" w:color="auto" w:sz="4" w:space="0"/>
              <w:bottom w:val="dotted" w:color="auto" w:sz="4" w:space="0"/>
              <w:right w:val="dotted" w:color="auto" w:sz="12" w:space="0"/>
              <w:tl2br w:val="nil"/>
              <w:tr2bl w:val="nil"/>
            </w:tcBorders>
            <w:shd w:val="clear" w:color="auto" w:fill="F1FAED"/>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24.07</w:t>
            </w:r>
          </w:p>
        </w:tc>
        <w:tc>
          <w:tcPr>
            <w:tcW w:w="3704" w:type="dxa"/>
            <w:tcBorders>
              <w:top w:val="dotted" w:color="auto" w:sz="4" w:space="0"/>
              <w:left w:val="dotted" w:color="auto" w:sz="4" w:space="0"/>
              <w:bottom w:val="dotted" w:color="auto" w:sz="4" w:space="0"/>
              <w:right w:val="single" w:color="73C652" w:sz="12" w:space="0"/>
              <w:tl2br w:val="nil"/>
              <w:tr2bl w:val="nil"/>
            </w:tcBorders>
            <w:shd w:val="clear" w:color="auto" w:fill="FFFFFF"/>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考虑到</w:t>
            </w:r>
            <w:r>
              <w:rPr>
                <w:rFonts w:hint="eastAsia" w:ascii="仿宋" w:hAnsi="仿宋" w:eastAsia="仿宋" w:cs="仿宋"/>
                <w:b/>
                <w:bCs/>
                <w:i w:val="0"/>
                <w:iCs w:val="0"/>
                <w:color w:val="000000"/>
                <w:kern w:val="0"/>
                <w:sz w:val="21"/>
                <w:szCs w:val="21"/>
                <w:u w:val="none"/>
                <w:lang w:val="en-US" w:eastAsia="zh-CN" w:bidi="ar"/>
              </w:rPr>
              <w:t>园地面积较林地小，估价难度系数高于林地</w:t>
            </w:r>
            <w:r>
              <w:rPr>
                <w:rFonts w:hint="eastAsia" w:ascii="仿宋" w:hAnsi="仿宋" w:eastAsia="仿宋" w:cs="仿宋"/>
                <w:b w:val="0"/>
                <w:bCs w:val="0"/>
                <w:i w:val="0"/>
                <w:iCs w:val="0"/>
                <w:color w:val="000000"/>
                <w:kern w:val="0"/>
                <w:sz w:val="21"/>
                <w:szCs w:val="21"/>
                <w:u w:val="none"/>
                <w:lang w:val="en-US" w:eastAsia="zh-CN" w:bidi="ar"/>
              </w:rPr>
              <w:t>，</w:t>
            </w:r>
            <w:r>
              <w:rPr>
                <w:rFonts w:hint="eastAsia" w:ascii="仿宋" w:hAnsi="仿宋" w:eastAsia="仿宋" w:cs="楷体"/>
                <w:b w:val="0"/>
                <w:bCs w:val="0"/>
                <w:color w:val="000000"/>
                <w:sz w:val="21"/>
                <w:szCs w:val="21"/>
                <w:lang w:val="en-US" w:eastAsia="zh-CN"/>
              </w:rPr>
              <w:t>园地定级和基准地价评估服务成本取林地定级和基准地价评估服务成本的</w:t>
            </w:r>
            <w:r>
              <w:rPr>
                <w:rFonts w:hint="eastAsia" w:ascii="仿宋" w:hAnsi="仿宋" w:eastAsia="仿宋" w:cs="楷体"/>
                <w:b/>
                <w:bCs/>
                <w:color w:val="000000"/>
                <w:sz w:val="21"/>
                <w:szCs w:val="21"/>
                <w:lang w:val="en-US" w:eastAsia="zh-CN"/>
              </w:rPr>
              <w:t>0.8倍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845" w:type="dxa"/>
            <w:tcBorders>
              <w:top w:val="dotted" w:color="auto" w:sz="4" w:space="0"/>
              <w:left w:val="single" w:color="73C652" w:sz="12" w:space="0"/>
              <w:bottom w:val="dotted" w:color="auto" w:sz="4" w:space="0"/>
              <w:right w:val="dotted" w:color="auto" w:sz="4" w:space="0"/>
              <w:tl2br w:val="nil"/>
              <w:tr2bl w:val="nil"/>
            </w:tcBorders>
            <w:shd w:val="clear" w:color="auto" w:fill="F1FAED"/>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w:t>
            </w:r>
          </w:p>
        </w:tc>
        <w:tc>
          <w:tcPr>
            <w:tcW w:w="2883" w:type="dxa"/>
            <w:tcBorders>
              <w:top w:val="dotted" w:color="auto" w:sz="4" w:space="0"/>
              <w:left w:val="dotted" w:color="auto" w:sz="4" w:space="0"/>
              <w:bottom w:val="dotted" w:color="auto" w:sz="4" w:space="0"/>
              <w:right w:val="dotted" w:color="auto" w:sz="4"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楷体"/>
                <w:b/>
                <w:bCs/>
                <w:color w:val="000000"/>
                <w:sz w:val="21"/>
                <w:szCs w:val="21"/>
                <w:lang w:val="en-US" w:eastAsia="zh-CN"/>
              </w:rPr>
              <w:t>草地</w:t>
            </w:r>
            <w:r>
              <w:rPr>
                <w:rFonts w:hint="eastAsia" w:ascii="仿宋" w:hAnsi="仿宋" w:eastAsia="仿宋" w:cs="楷体"/>
                <w:b w:val="0"/>
                <w:bCs w:val="0"/>
                <w:color w:val="000000"/>
                <w:sz w:val="21"/>
                <w:szCs w:val="21"/>
                <w:lang w:val="en-US" w:eastAsia="zh-CN"/>
              </w:rPr>
              <w:t>定级和基准地价评估服务成本</w:t>
            </w:r>
          </w:p>
        </w:tc>
        <w:tc>
          <w:tcPr>
            <w:tcW w:w="1733" w:type="dxa"/>
            <w:tcBorders>
              <w:top w:val="dotted" w:color="auto" w:sz="4" w:space="0"/>
              <w:left w:val="dotted" w:color="auto" w:sz="4" w:space="0"/>
              <w:bottom w:val="dotted" w:color="auto" w:sz="4" w:space="0"/>
              <w:right w:val="dotted" w:color="auto" w:sz="12" w:space="0"/>
              <w:tl2br w:val="nil"/>
              <w:tr2bl w:val="nil"/>
            </w:tcBorders>
            <w:shd w:val="clear" w:color="auto" w:fill="F1FAED"/>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6.02</w:t>
            </w:r>
          </w:p>
        </w:tc>
        <w:tc>
          <w:tcPr>
            <w:tcW w:w="3704" w:type="dxa"/>
            <w:tcBorders>
              <w:top w:val="dotted" w:color="auto" w:sz="4" w:space="0"/>
              <w:left w:val="dotted" w:color="auto" w:sz="4" w:space="0"/>
              <w:bottom w:val="dotted" w:color="auto" w:sz="4" w:space="0"/>
              <w:right w:val="single" w:color="73C652" w:sz="12" w:space="0"/>
              <w:tl2br w:val="nil"/>
              <w:tr2bl w:val="nil"/>
            </w:tcBorders>
            <w:shd w:val="clear" w:color="auto" w:fill="CEECC3"/>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考虑到</w:t>
            </w:r>
            <w:r>
              <w:rPr>
                <w:rFonts w:hint="eastAsia" w:ascii="仿宋" w:hAnsi="仿宋" w:eastAsia="仿宋" w:cs="仿宋"/>
                <w:b/>
                <w:bCs/>
                <w:i w:val="0"/>
                <w:iCs w:val="0"/>
                <w:color w:val="000000"/>
                <w:kern w:val="0"/>
                <w:sz w:val="21"/>
                <w:szCs w:val="21"/>
                <w:u w:val="none"/>
                <w:lang w:val="en-US" w:eastAsia="zh-CN" w:bidi="ar"/>
              </w:rPr>
              <w:t>草地面积较林地小且估价难度系数较低</w:t>
            </w:r>
            <w:r>
              <w:rPr>
                <w:rFonts w:hint="eastAsia" w:ascii="仿宋" w:hAnsi="仿宋" w:eastAsia="仿宋" w:cs="仿宋"/>
                <w:b w:val="0"/>
                <w:bCs w:val="0"/>
                <w:i w:val="0"/>
                <w:iCs w:val="0"/>
                <w:color w:val="000000"/>
                <w:kern w:val="0"/>
                <w:sz w:val="21"/>
                <w:szCs w:val="21"/>
                <w:u w:val="none"/>
                <w:lang w:val="en-US" w:eastAsia="zh-CN" w:bidi="ar"/>
              </w:rPr>
              <w:t>，草地定级和基准地价评估服务成本取林地定</w:t>
            </w:r>
            <w:r>
              <w:rPr>
                <w:rFonts w:hint="eastAsia" w:ascii="仿宋" w:hAnsi="仿宋" w:eastAsia="仿宋" w:cs="楷体"/>
                <w:b w:val="0"/>
                <w:bCs w:val="0"/>
                <w:color w:val="000000"/>
                <w:sz w:val="21"/>
                <w:szCs w:val="21"/>
                <w:lang w:val="en-US" w:eastAsia="zh-CN"/>
              </w:rPr>
              <w:t>级和基准地价评估服务成本的</w:t>
            </w:r>
            <w:r>
              <w:rPr>
                <w:rFonts w:hint="eastAsia" w:ascii="仿宋" w:hAnsi="仿宋" w:eastAsia="仿宋" w:cs="楷体"/>
                <w:b/>
                <w:bCs/>
                <w:color w:val="000000"/>
                <w:sz w:val="21"/>
                <w:szCs w:val="21"/>
                <w:lang w:val="en-US" w:eastAsia="zh-CN"/>
              </w:rPr>
              <w:t>0.2倍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8" w:hRule="atLeast"/>
          <w:jc w:val="center"/>
        </w:trPr>
        <w:tc>
          <w:tcPr>
            <w:tcW w:w="845" w:type="dxa"/>
            <w:tcBorders>
              <w:top w:val="dotted" w:color="auto" w:sz="4" w:space="0"/>
              <w:left w:val="single" w:color="73C652" w:sz="12" w:space="0"/>
              <w:bottom w:val="single" w:color="73C652" w:sz="4" w:space="0"/>
              <w:right w:val="dotted" w:color="auto" w:sz="4"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w:t>
            </w:r>
          </w:p>
        </w:tc>
        <w:tc>
          <w:tcPr>
            <w:tcW w:w="2883" w:type="dxa"/>
            <w:tcBorders>
              <w:top w:val="dotted" w:color="auto" w:sz="4" w:space="0"/>
              <w:left w:val="dotted" w:color="auto" w:sz="4" w:space="0"/>
              <w:bottom w:val="single" w:color="73C652" w:sz="4" w:space="0"/>
              <w:right w:val="dotted" w:color="auto" w:sz="4" w:space="0"/>
              <w:tl2br w:val="nil"/>
              <w:tr2bl w:val="nil"/>
            </w:tcBorders>
            <w:shd w:val="clear" w:color="auto" w:fill="97D57F"/>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楷体"/>
                <w:b w:val="0"/>
                <w:bCs w:val="0"/>
                <w:color w:val="000000"/>
                <w:sz w:val="21"/>
                <w:szCs w:val="21"/>
                <w:lang w:val="en-US" w:eastAsia="zh-CN"/>
              </w:rPr>
              <w:t>江西省</w:t>
            </w:r>
            <w:r>
              <w:rPr>
                <w:rFonts w:hint="eastAsia" w:ascii="仿宋" w:hAnsi="仿宋" w:eastAsia="仿宋" w:cs="楷体"/>
                <w:b/>
                <w:bCs/>
                <w:color w:val="000000"/>
                <w:sz w:val="21"/>
                <w:szCs w:val="21"/>
                <w:lang w:val="en-US" w:eastAsia="zh-CN"/>
              </w:rPr>
              <w:t>园地林地草地</w:t>
            </w:r>
            <w:r>
              <w:rPr>
                <w:rFonts w:hint="eastAsia" w:ascii="仿宋" w:hAnsi="仿宋" w:eastAsia="仿宋" w:cs="楷体"/>
                <w:b w:val="0"/>
                <w:bCs w:val="0"/>
                <w:color w:val="000000"/>
                <w:sz w:val="21"/>
                <w:szCs w:val="21"/>
                <w:lang w:val="en-US" w:eastAsia="zh-CN"/>
              </w:rPr>
              <w:t>定级和基准地价评估</w:t>
            </w:r>
            <w:r>
              <w:rPr>
                <w:rFonts w:hint="eastAsia" w:ascii="仿宋" w:hAnsi="仿宋" w:eastAsia="仿宋" w:cs="楷体"/>
                <w:b/>
                <w:bCs/>
                <w:color w:val="000000"/>
                <w:sz w:val="21"/>
                <w:szCs w:val="21"/>
                <w:lang w:val="en-US" w:eastAsia="zh-CN"/>
              </w:rPr>
              <w:t>综合服务成本</w:t>
            </w:r>
          </w:p>
        </w:tc>
        <w:tc>
          <w:tcPr>
            <w:tcW w:w="1733" w:type="dxa"/>
            <w:tcBorders>
              <w:top w:val="dotted" w:color="auto" w:sz="4" w:space="0"/>
              <w:left w:val="dotted" w:color="auto" w:sz="4" w:space="0"/>
              <w:bottom w:val="single" w:color="73C652" w:sz="4" w:space="0"/>
              <w:right w:val="dotted" w:color="auto" w:sz="12" w:space="0"/>
              <w:tl2br w:val="nil"/>
              <w:tr2bl w:val="nil"/>
            </w:tcBorders>
            <w:shd w:val="clear" w:color="auto" w:fill="97D57F"/>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60.18</w:t>
            </w:r>
          </w:p>
        </w:tc>
        <w:tc>
          <w:tcPr>
            <w:tcW w:w="3704" w:type="dxa"/>
            <w:tcBorders>
              <w:top w:val="dotted" w:color="auto" w:sz="4" w:space="0"/>
              <w:left w:val="dotted" w:color="auto" w:sz="4" w:space="0"/>
              <w:bottom w:val="single" w:color="73C652" w:sz="4" w:space="0"/>
              <w:right w:val="single" w:color="73C652" w:sz="12" w:space="0"/>
              <w:tl2br w:val="nil"/>
              <w:tr2bl w:val="nil"/>
            </w:tcBorders>
            <w:shd w:val="clear" w:color="auto" w:fill="97D57F"/>
            <w:vAlign w:val="center"/>
          </w:tcPr>
          <w:p>
            <w:pPr>
              <w:keepNext w:val="0"/>
              <w:keepLines w:val="0"/>
              <w:widowControl/>
              <w:suppressLineNumbers w:val="0"/>
              <w:jc w:val="center"/>
              <w:textAlignment w:val="center"/>
              <w:rPr>
                <w:rFonts w:hint="default"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上述三项成本合计</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000000"/>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000000"/>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000000"/>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Cs/>
          <w:color w:val="000000"/>
          <w:sz w:val="24"/>
          <w:lang w:val="en-US" w:eastAsia="zh-CN"/>
        </w:rPr>
      </w:pPr>
      <w:r>
        <w:rPr>
          <w:rFonts w:hint="eastAsia" w:ascii="仿宋" w:hAnsi="仿宋" w:eastAsia="仿宋" w:cs="仿宋"/>
          <w:bCs/>
          <w:color w:val="000000"/>
          <w:sz w:val="24"/>
          <w:lang w:val="en-US" w:eastAsia="zh-CN"/>
        </w:rPr>
        <w:t>3、与2021年完成的江西省农用地基准地价评估服务成本价对比结果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楷体"/>
          <w:bCs/>
          <w:sz w:val="24"/>
          <w:szCs w:val="24"/>
          <w:lang w:val="en-US" w:eastAsia="zh-CN"/>
        </w:rPr>
      </w:pPr>
      <w:r>
        <w:rPr>
          <w:rFonts w:hint="eastAsia" w:ascii="仿宋" w:hAnsi="仿宋" w:eastAsia="仿宋" w:cs="仿宋"/>
          <w:bCs/>
          <w:color w:val="000000"/>
          <w:sz w:val="24"/>
          <w:lang w:val="en-US" w:eastAsia="zh-CN"/>
        </w:rPr>
        <w:t>目前江西省开展的农用地定级和基准地价评估工作与</w:t>
      </w:r>
      <w:r>
        <w:rPr>
          <w:rFonts w:hint="eastAsia" w:ascii="仿宋" w:hAnsi="仿宋" w:eastAsia="仿宋" w:cs="楷体"/>
          <w:bCs/>
          <w:sz w:val="24"/>
          <w:szCs w:val="24"/>
          <w:lang w:val="en-US" w:eastAsia="zh-CN"/>
        </w:rPr>
        <w:t>园地林地草地定级和基准地价评估工作具有一定的相似性。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000000"/>
          <w:sz w:val="24"/>
          <w:lang w:val="en-US" w:eastAsia="zh-CN"/>
        </w:rPr>
      </w:pPr>
      <w:r>
        <w:rPr>
          <w:rFonts w:hint="eastAsia" w:ascii="仿宋" w:hAnsi="仿宋" w:eastAsia="仿宋" w:cs="仿宋"/>
          <w:bCs/>
          <w:color w:val="000000"/>
          <w:sz w:val="24"/>
          <w:lang w:val="en-US" w:eastAsia="zh-CN"/>
        </w:rPr>
        <w:t>2021年完成的江西省农用地基准地价评估服务成本如下表：</w:t>
      </w:r>
    </w:p>
    <w:p>
      <w:pPr>
        <w:spacing w:line="360" w:lineRule="auto"/>
        <w:jc w:val="center"/>
        <w:rPr>
          <w:rFonts w:hint="default" w:ascii="仿宋" w:hAnsi="仿宋" w:eastAsia="仿宋" w:cs="仿宋"/>
          <w:b/>
          <w:bCs w:val="0"/>
          <w:color w:val="000000"/>
          <w:sz w:val="24"/>
          <w:szCs w:val="24"/>
          <w:lang w:val="en-US" w:eastAsia="zh-CN"/>
        </w:rPr>
      </w:pPr>
      <w:r>
        <w:rPr>
          <w:rFonts w:hint="eastAsia" w:ascii="仿宋" w:hAnsi="仿宋" w:eastAsia="仿宋" w:cs="仿宋"/>
          <w:b/>
          <w:bCs w:val="0"/>
          <w:color w:val="000000"/>
          <w:sz w:val="24"/>
          <w:szCs w:val="24"/>
          <w:lang w:val="en-US" w:eastAsia="zh-CN"/>
        </w:rPr>
        <w:t xml:space="preserve">                   农用地基准地价评估成本价              </w:t>
      </w:r>
      <w:r>
        <w:rPr>
          <w:rFonts w:hint="eastAsia" w:ascii="仿宋" w:hAnsi="仿宋" w:eastAsia="仿宋" w:cs="楷体"/>
          <w:b w:val="0"/>
          <w:bCs/>
          <w:sz w:val="21"/>
          <w:szCs w:val="21"/>
          <w:lang w:val="en-US" w:eastAsia="zh-CN"/>
        </w:rPr>
        <w:t>表18</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350"/>
        <w:gridCol w:w="23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Borders>
              <w:top w:val="single" w:color="4F81BD" w:sz="8" w:space="0"/>
              <w:left w:val="single" w:color="4F81BD" w:sz="8" w:space="0"/>
              <w:bottom w:val="single" w:color="FFFFFF" w:sz="18" w:space="0"/>
              <w:right w:val="single" w:color="4F81BD" w:sz="8" w:space="0"/>
              <w:tl2br w:val="nil"/>
              <w:tr2bl w:val="nil"/>
            </w:tcBorders>
            <w:shd w:val="clear" w:color="auto" w:fill="4F81BD"/>
            <w:noWrap w:val="0"/>
            <w:vAlign w:val="center"/>
          </w:tcPr>
          <w:p>
            <w:pPr>
              <w:spacing w:line="360" w:lineRule="auto"/>
              <w:jc w:val="center"/>
              <w:rPr>
                <w:rFonts w:hint="eastAsia" w:ascii="仿宋" w:hAnsi="仿宋" w:eastAsia="仿宋" w:cs="仿宋"/>
                <w:b/>
                <w:bCs w:val="0"/>
                <w:color w:val="000000"/>
                <w:sz w:val="21"/>
                <w:szCs w:val="21"/>
                <w:vertAlign w:val="baseline"/>
                <w:lang w:val="en-US" w:eastAsia="zh-CN"/>
              </w:rPr>
            </w:pPr>
            <w:r>
              <w:rPr>
                <w:rFonts w:hint="eastAsia" w:ascii="仿宋" w:hAnsi="仿宋" w:eastAsia="仿宋" w:cs="仿宋"/>
                <w:b/>
                <w:bCs w:val="0"/>
                <w:color w:val="000000"/>
                <w:sz w:val="21"/>
                <w:szCs w:val="21"/>
                <w:vertAlign w:val="baseline"/>
                <w:lang w:val="en-US" w:eastAsia="zh-CN"/>
              </w:rPr>
              <w:t>乡镇个数</w:t>
            </w:r>
          </w:p>
        </w:tc>
        <w:tc>
          <w:tcPr>
            <w:tcW w:w="2350" w:type="dxa"/>
            <w:tcBorders>
              <w:top w:val="single" w:color="4F81BD" w:sz="8" w:space="0"/>
              <w:left w:val="single" w:color="4F81BD" w:sz="8" w:space="0"/>
              <w:bottom w:val="single" w:color="FFFFFF" w:sz="18" w:space="0"/>
              <w:right w:val="single" w:color="4F81BD" w:sz="8" w:space="0"/>
              <w:tl2br w:val="nil"/>
              <w:tr2bl w:val="nil"/>
            </w:tcBorders>
            <w:shd w:val="clear" w:color="auto" w:fill="4F81BD"/>
            <w:noWrap w:val="0"/>
            <w:vAlign w:val="center"/>
          </w:tcPr>
          <w:p>
            <w:pPr>
              <w:spacing w:line="360" w:lineRule="auto"/>
              <w:jc w:val="center"/>
              <w:rPr>
                <w:rFonts w:hint="eastAsia" w:ascii="仿宋" w:hAnsi="仿宋" w:eastAsia="仿宋" w:cs="仿宋"/>
                <w:b/>
                <w:bCs w:val="0"/>
                <w:color w:val="000000"/>
                <w:sz w:val="21"/>
                <w:szCs w:val="21"/>
                <w:vertAlign w:val="baseline"/>
                <w:lang w:val="en-US" w:eastAsia="zh-CN"/>
              </w:rPr>
            </w:pPr>
            <w:r>
              <w:rPr>
                <w:rFonts w:hint="eastAsia" w:ascii="仿宋" w:hAnsi="仿宋" w:eastAsia="仿宋" w:cs="仿宋"/>
                <w:b/>
                <w:bCs w:val="0"/>
                <w:color w:val="000000"/>
                <w:sz w:val="21"/>
                <w:szCs w:val="21"/>
                <w:vertAlign w:val="baseline"/>
                <w:lang w:val="en-US" w:eastAsia="zh-CN"/>
              </w:rPr>
              <w:t>成本价（万元/乡镇）</w:t>
            </w:r>
          </w:p>
        </w:tc>
        <w:tc>
          <w:tcPr>
            <w:tcW w:w="2331" w:type="dxa"/>
            <w:tcBorders>
              <w:top w:val="single" w:color="4F81BD" w:sz="8" w:space="0"/>
              <w:left w:val="single" w:color="4F81BD" w:sz="8" w:space="0"/>
              <w:bottom w:val="single" w:color="FFFFFF" w:sz="18" w:space="0"/>
              <w:right w:val="single" w:color="4F81BD" w:sz="8" w:space="0"/>
              <w:tl2br w:val="nil"/>
              <w:tr2bl w:val="nil"/>
            </w:tcBorders>
            <w:shd w:val="clear" w:color="auto" w:fill="4F81BD"/>
            <w:noWrap w:val="0"/>
            <w:vAlign w:val="center"/>
          </w:tcPr>
          <w:p>
            <w:pPr>
              <w:spacing w:line="360" w:lineRule="auto"/>
              <w:jc w:val="center"/>
              <w:rPr>
                <w:rFonts w:hint="eastAsia" w:ascii="仿宋" w:hAnsi="仿宋" w:eastAsia="仿宋" w:cs="仿宋"/>
                <w:b/>
                <w:bCs w:val="0"/>
                <w:color w:val="000000"/>
                <w:sz w:val="21"/>
                <w:szCs w:val="21"/>
                <w:vertAlign w:val="baseline"/>
                <w:lang w:val="en-US" w:eastAsia="zh-CN"/>
              </w:rPr>
            </w:pPr>
            <w:r>
              <w:rPr>
                <w:rFonts w:hint="eastAsia" w:ascii="仿宋" w:hAnsi="仿宋" w:eastAsia="仿宋" w:cs="仿宋"/>
                <w:b/>
                <w:bCs w:val="0"/>
                <w:color w:val="000000"/>
                <w:sz w:val="21"/>
                <w:szCs w:val="21"/>
                <w:vertAlign w:val="baseline"/>
                <w:lang w:val="en-US" w:eastAsia="zh-CN"/>
              </w:rPr>
              <w:t>评估内容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Borders>
              <w:top w:val="single" w:color="FFFFFF" w:sz="18" w:space="0"/>
              <w:left w:val="single" w:color="4F81BD" w:sz="8" w:space="0"/>
              <w:bottom w:val="single" w:color="4F81BD" w:sz="8" w:space="0"/>
              <w:right w:val="single" w:color="4F81BD" w:sz="8" w:space="0"/>
              <w:tl2br w:val="nil"/>
              <w:tr2bl w:val="nil"/>
            </w:tcBorders>
            <w:shd w:val="clear" w:color="auto" w:fill="B8CCE4"/>
            <w:noWrap w:val="0"/>
            <w:vAlign w:val="center"/>
          </w:tcPr>
          <w:p>
            <w:pPr>
              <w:spacing w:line="360" w:lineRule="auto"/>
              <w:jc w:val="center"/>
              <w:rPr>
                <w:rFonts w:hint="eastAsia" w:ascii="仿宋" w:hAnsi="仿宋" w:eastAsia="仿宋" w:cs="仿宋"/>
                <w:b w:val="0"/>
                <w:bCs/>
                <w:color w:val="000000"/>
                <w:sz w:val="21"/>
                <w:szCs w:val="21"/>
                <w:vertAlign w:val="baseline"/>
                <w:lang w:val="en-US" w:eastAsia="zh-CN"/>
              </w:rPr>
            </w:pPr>
            <w:r>
              <w:rPr>
                <w:rFonts w:hint="eastAsia" w:ascii="仿宋" w:hAnsi="仿宋" w:eastAsia="仿宋" w:cs="仿宋"/>
                <w:b w:val="0"/>
                <w:bCs/>
                <w:color w:val="000000"/>
                <w:sz w:val="21"/>
                <w:szCs w:val="21"/>
                <w:vertAlign w:val="baseline"/>
                <w:lang w:val="en-US" w:eastAsia="zh-CN"/>
              </w:rPr>
              <w:t>1≤乡镇个数＜5</w:t>
            </w:r>
          </w:p>
        </w:tc>
        <w:tc>
          <w:tcPr>
            <w:tcW w:w="2350" w:type="dxa"/>
            <w:tcBorders>
              <w:top w:val="single" w:color="FFFFFF" w:sz="18" w:space="0"/>
              <w:left w:val="single" w:color="4F81BD" w:sz="8" w:space="0"/>
              <w:bottom w:val="single" w:color="4F81BD" w:sz="8" w:space="0"/>
              <w:right w:val="single" w:color="4F81BD" w:sz="8" w:space="0"/>
              <w:tl2br w:val="nil"/>
              <w:tr2bl w:val="nil"/>
            </w:tcBorders>
            <w:shd w:val="clear" w:color="auto" w:fill="B8CCE4"/>
            <w:noWrap w:val="0"/>
            <w:vAlign w:val="center"/>
          </w:tcPr>
          <w:p>
            <w:pPr>
              <w:spacing w:line="360" w:lineRule="auto"/>
              <w:jc w:val="center"/>
              <w:rPr>
                <w:rFonts w:hint="eastAsia" w:ascii="仿宋" w:hAnsi="仿宋" w:eastAsia="仿宋" w:cs="仿宋"/>
                <w:b w:val="0"/>
                <w:bCs/>
                <w:color w:val="000000"/>
                <w:sz w:val="21"/>
                <w:szCs w:val="21"/>
                <w:vertAlign w:val="baseline"/>
                <w:lang w:val="en-US" w:eastAsia="zh-CN"/>
              </w:rPr>
            </w:pPr>
            <w:r>
              <w:rPr>
                <w:rFonts w:hint="eastAsia" w:ascii="仿宋" w:hAnsi="仿宋" w:eastAsia="仿宋" w:cs="仿宋"/>
                <w:b w:val="0"/>
                <w:bCs/>
                <w:color w:val="000000"/>
                <w:sz w:val="21"/>
                <w:szCs w:val="21"/>
                <w:vertAlign w:val="baseline"/>
                <w:lang w:val="en-US" w:eastAsia="zh-CN"/>
              </w:rPr>
              <w:t>7-8</w:t>
            </w:r>
          </w:p>
        </w:tc>
        <w:tc>
          <w:tcPr>
            <w:tcW w:w="2331" w:type="dxa"/>
            <w:vMerge w:val="restart"/>
            <w:tcBorders>
              <w:top w:val="single" w:color="FFFFFF" w:sz="18" w:space="0"/>
              <w:left w:val="single" w:color="4F81BD" w:sz="8" w:space="0"/>
              <w:right w:val="single" w:color="4F81BD" w:sz="8" w:space="0"/>
              <w:tl2br w:val="nil"/>
              <w:tr2bl w:val="nil"/>
            </w:tcBorders>
            <w:shd w:val="clear" w:color="auto" w:fill="B8CCE4"/>
            <w:noWrap w:val="0"/>
            <w:vAlign w:val="center"/>
          </w:tcPr>
          <w:p>
            <w:pPr>
              <w:spacing w:line="360" w:lineRule="auto"/>
              <w:jc w:val="center"/>
              <w:rPr>
                <w:rFonts w:hint="eastAsia" w:ascii="仿宋" w:hAnsi="仿宋" w:eastAsia="仿宋" w:cs="仿宋"/>
                <w:b w:val="0"/>
                <w:bCs/>
                <w:color w:val="000000"/>
                <w:sz w:val="21"/>
                <w:szCs w:val="21"/>
                <w:vertAlign w:val="baseline"/>
                <w:lang w:val="en-US" w:eastAsia="zh-CN"/>
              </w:rPr>
            </w:pPr>
            <w:r>
              <w:rPr>
                <w:rFonts w:hint="eastAsia" w:ascii="仿宋" w:hAnsi="仿宋" w:eastAsia="仿宋" w:cs="仿宋"/>
                <w:b w:val="0"/>
                <w:bCs/>
                <w:color w:val="000000"/>
                <w:sz w:val="21"/>
                <w:szCs w:val="21"/>
                <w:vertAlign w:val="baseline"/>
                <w:lang w:val="en-US" w:eastAsia="zh-CN"/>
              </w:rPr>
              <w:t>集体农用地基准地价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Borders>
              <w:top w:val="single" w:color="4F81BD" w:sz="8" w:space="0"/>
              <w:left w:val="single" w:color="4F81BD" w:sz="8" w:space="0"/>
              <w:bottom w:val="single" w:color="4F81BD" w:sz="8" w:space="0"/>
              <w:right w:val="single" w:color="4F81BD" w:sz="8" w:space="0"/>
              <w:tl2br w:val="nil"/>
              <w:tr2bl w:val="nil"/>
            </w:tcBorders>
            <w:shd w:val="clear" w:color="auto" w:fill="FFFFFF"/>
            <w:noWrap w:val="0"/>
            <w:vAlign w:val="center"/>
          </w:tcPr>
          <w:p>
            <w:pPr>
              <w:spacing w:line="360" w:lineRule="auto"/>
              <w:jc w:val="center"/>
              <w:rPr>
                <w:rFonts w:hint="eastAsia" w:ascii="仿宋" w:hAnsi="仿宋" w:eastAsia="仿宋" w:cs="仿宋"/>
                <w:b w:val="0"/>
                <w:bCs/>
                <w:color w:val="000000"/>
                <w:sz w:val="21"/>
                <w:szCs w:val="21"/>
                <w:vertAlign w:val="baseline"/>
                <w:lang w:val="en-US" w:eastAsia="zh-CN"/>
              </w:rPr>
            </w:pPr>
            <w:r>
              <w:rPr>
                <w:rFonts w:hint="eastAsia" w:ascii="仿宋" w:hAnsi="仿宋" w:eastAsia="仿宋" w:cs="仿宋"/>
                <w:b w:val="0"/>
                <w:bCs/>
                <w:color w:val="000000"/>
                <w:sz w:val="21"/>
                <w:szCs w:val="21"/>
                <w:vertAlign w:val="baseline"/>
                <w:lang w:val="en-US" w:eastAsia="zh-CN"/>
              </w:rPr>
              <w:t>5≤乡镇个数＜10</w:t>
            </w:r>
          </w:p>
        </w:tc>
        <w:tc>
          <w:tcPr>
            <w:tcW w:w="2350" w:type="dxa"/>
            <w:tcBorders>
              <w:top w:val="single" w:color="4F81BD" w:sz="8" w:space="0"/>
              <w:left w:val="single" w:color="4F81BD" w:sz="8" w:space="0"/>
              <w:bottom w:val="single" w:color="4F81BD" w:sz="8" w:space="0"/>
              <w:right w:val="single" w:color="4F81BD" w:sz="8" w:space="0"/>
              <w:tl2br w:val="nil"/>
              <w:tr2bl w:val="nil"/>
            </w:tcBorders>
            <w:shd w:val="clear" w:color="auto" w:fill="FFFFFF"/>
            <w:noWrap w:val="0"/>
            <w:vAlign w:val="center"/>
          </w:tcPr>
          <w:p>
            <w:pPr>
              <w:spacing w:line="360" w:lineRule="auto"/>
              <w:jc w:val="center"/>
              <w:rPr>
                <w:rFonts w:hint="eastAsia" w:ascii="仿宋" w:hAnsi="仿宋" w:eastAsia="仿宋" w:cs="仿宋"/>
                <w:b w:val="0"/>
                <w:bCs/>
                <w:color w:val="000000"/>
                <w:sz w:val="21"/>
                <w:szCs w:val="21"/>
                <w:vertAlign w:val="baseline"/>
                <w:lang w:val="en-US" w:eastAsia="zh-CN"/>
              </w:rPr>
            </w:pPr>
            <w:r>
              <w:rPr>
                <w:rFonts w:hint="eastAsia" w:ascii="仿宋" w:hAnsi="仿宋" w:eastAsia="仿宋" w:cs="仿宋"/>
                <w:b w:val="0"/>
                <w:bCs/>
                <w:color w:val="000000"/>
                <w:sz w:val="21"/>
                <w:szCs w:val="21"/>
                <w:vertAlign w:val="baseline"/>
                <w:lang w:val="en-US" w:eastAsia="zh-CN"/>
              </w:rPr>
              <w:t>5-7</w:t>
            </w:r>
          </w:p>
        </w:tc>
        <w:tc>
          <w:tcPr>
            <w:tcW w:w="2331" w:type="dxa"/>
            <w:vMerge w:val="continue"/>
            <w:tcBorders>
              <w:left w:val="single" w:color="4F81BD" w:sz="8" w:space="0"/>
              <w:right w:val="single" w:color="4F81BD" w:sz="8" w:space="0"/>
              <w:tl2br w:val="nil"/>
              <w:tr2bl w:val="nil"/>
            </w:tcBorders>
            <w:shd w:val="clear" w:color="auto" w:fill="FFFFFF"/>
            <w:noWrap w:val="0"/>
            <w:vAlign w:val="center"/>
          </w:tcPr>
          <w:p>
            <w:pPr>
              <w:spacing w:line="360" w:lineRule="auto"/>
              <w:jc w:val="center"/>
              <w:rPr>
                <w:rFonts w:hint="eastAsia" w:ascii="仿宋" w:hAnsi="仿宋" w:eastAsia="仿宋" w:cs="仿宋"/>
                <w:b w:val="0"/>
                <w:bCs/>
                <w:color w:val="000000"/>
                <w:sz w:val="21"/>
                <w:szCs w:val="21"/>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Borders>
              <w:top w:val="single" w:color="4F81BD" w:sz="8" w:space="0"/>
              <w:left w:val="single" w:color="4F81BD" w:sz="8" w:space="0"/>
              <w:bottom w:val="single" w:color="4F81BD" w:sz="8" w:space="0"/>
              <w:right w:val="single" w:color="4F81BD" w:sz="8" w:space="0"/>
              <w:tl2br w:val="nil"/>
              <w:tr2bl w:val="nil"/>
            </w:tcBorders>
            <w:shd w:val="clear" w:color="auto" w:fill="B8CCE4"/>
            <w:noWrap w:val="0"/>
            <w:vAlign w:val="center"/>
          </w:tcPr>
          <w:p>
            <w:pPr>
              <w:spacing w:line="360" w:lineRule="auto"/>
              <w:jc w:val="center"/>
              <w:rPr>
                <w:rFonts w:hint="eastAsia" w:ascii="仿宋" w:hAnsi="仿宋" w:eastAsia="仿宋" w:cs="仿宋"/>
                <w:b w:val="0"/>
                <w:bCs/>
                <w:color w:val="000000"/>
                <w:sz w:val="21"/>
                <w:szCs w:val="21"/>
                <w:vertAlign w:val="baseline"/>
                <w:lang w:val="en-US" w:eastAsia="zh-CN"/>
              </w:rPr>
            </w:pPr>
            <w:r>
              <w:rPr>
                <w:rFonts w:hint="eastAsia" w:ascii="仿宋" w:hAnsi="仿宋" w:eastAsia="仿宋" w:cs="仿宋"/>
                <w:b w:val="0"/>
                <w:bCs/>
                <w:color w:val="000000"/>
                <w:sz w:val="21"/>
                <w:szCs w:val="21"/>
                <w:vertAlign w:val="baseline"/>
                <w:lang w:val="en-US" w:eastAsia="zh-CN"/>
              </w:rPr>
              <w:t>10个或10个以上</w:t>
            </w:r>
          </w:p>
        </w:tc>
        <w:tc>
          <w:tcPr>
            <w:tcW w:w="2350" w:type="dxa"/>
            <w:tcBorders>
              <w:top w:val="single" w:color="4F81BD" w:sz="8" w:space="0"/>
              <w:left w:val="single" w:color="4F81BD" w:sz="8" w:space="0"/>
              <w:bottom w:val="single" w:color="4F81BD" w:sz="8" w:space="0"/>
              <w:right w:val="single" w:color="4F81BD" w:sz="8" w:space="0"/>
              <w:tl2br w:val="nil"/>
              <w:tr2bl w:val="nil"/>
            </w:tcBorders>
            <w:shd w:val="clear" w:color="auto" w:fill="B8CCE4"/>
            <w:noWrap w:val="0"/>
            <w:vAlign w:val="center"/>
          </w:tcPr>
          <w:p>
            <w:pPr>
              <w:spacing w:line="360" w:lineRule="auto"/>
              <w:jc w:val="center"/>
              <w:rPr>
                <w:rFonts w:hint="eastAsia" w:ascii="仿宋" w:hAnsi="仿宋" w:eastAsia="仿宋" w:cs="仿宋"/>
                <w:b w:val="0"/>
                <w:bCs/>
                <w:color w:val="000000"/>
                <w:sz w:val="21"/>
                <w:szCs w:val="21"/>
                <w:vertAlign w:val="baseline"/>
                <w:lang w:val="en-US" w:eastAsia="zh-CN"/>
              </w:rPr>
            </w:pPr>
            <w:r>
              <w:rPr>
                <w:rFonts w:hint="eastAsia" w:ascii="仿宋" w:hAnsi="仿宋" w:eastAsia="仿宋" w:cs="仿宋"/>
                <w:b w:val="0"/>
                <w:bCs/>
                <w:color w:val="000000"/>
                <w:sz w:val="21"/>
                <w:szCs w:val="21"/>
                <w:vertAlign w:val="baseline"/>
                <w:lang w:val="en-US" w:eastAsia="zh-CN"/>
              </w:rPr>
              <w:t>4-5</w:t>
            </w:r>
          </w:p>
        </w:tc>
        <w:tc>
          <w:tcPr>
            <w:tcW w:w="2331" w:type="dxa"/>
            <w:vMerge w:val="continue"/>
            <w:tcBorders>
              <w:left w:val="single" w:color="4F81BD" w:sz="8" w:space="0"/>
              <w:bottom w:val="single" w:color="4F81BD" w:sz="8" w:space="0"/>
              <w:right w:val="single" w:color="4F81BD" w:sz="8" w:space="0"/>
              <w:tl2br w:val="nil"/>
              <w:tr2bl w:val="nil"/>
            </w:tcBorders>
            <w:shd w:val="clear" w:color="auto" w:fill="B8CCE4"/>
            <w:noWrap w:val="0"/>
            <w:vAlign w:val="center"/>
          </w:tcPr>
          <w:p>
            <w:pPr>
              <w:spacing w:line="360" w:lineRule="auto"/>
              <w:jc w:val="center"/>
              <w:rPr>
                <w:rFonts w:hint="eastAsia" w:ascii="仿宋" w:hAnsi="仿宋" w:eastAsia="仿宋" w:cs="仿宋"/>
                <w:b w:val="0"/>
                <w:bCs/>
                <w:color w:val="000000"/>
                <w:sz w:val="21"/>
                <w:szCs w:val="21"/>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楷体"/>
          <w:bCs/>
          <w:sz w:val="24"/>
          <w:szCs w:val="24"/>
          <w:lang w:val="en-US" w:eastAsia="zh-CN"/>
        </w:rPr>
      </w:pPr>
      <w:r>
        <w:rPr>
          <w:rFonts w:hint="eastAsia" w:ascii="仿宋" w:hAnsi="仿宋" w:eastAsia="仿宋" w:cs="仿宋"/>
          <w:bCs/>
          <w:color w:val="000000"/>
          <w:sz w:val="24"/>
          <w:lang w:val="en-US" w:eastAsia="zh-CN"/>
        </w:rPr>
        <w:t>根据2021年完成的江西省农用地基准地价评估成本价测算出</w:t>
      </w:r>
      <w:r>
        <w:rPr>
          <w:rFonts w:hint="eastAsia" w:ascii="仿宋" w:hAnsi="仿宋" w:eastAsia="仿宋" w:cs="楷体"/>
          <w:bCs/>
          <w:sz w:val="24"/>
          <w:szCs w:val="24"/>
          <w:lang w:val="en-US" w:eastAsia="zh-CN"/>
        </w:rPr>
        <w:t>15个乡镇的县域农用地定级和基准地价服务成本为60-75万元。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楷体"/>
          <w:b/>
          <w:bCs w:val="0"/>
          <w:sz w:val="24"/>
          <w:szCs w:val="24"/>
          <w:lang w:val="en-US" w:eastAsia="zh-CN"/>
        </w:rPr>
      </w:pPr>
      <w:r>
        <w:rPr>
          <w:rFonts w:hint="eastAsia" w:ascii="仿宋" w:hAnsi="仿宋" w:eastAsia="仿宋" w:cs="楷体"/>
          <w:b w:val="0"/>
          <w:bCs/>
          <w:sz w:val="24"/>
          <w:szCs w:val="24"/>
          <w:lang w:val="en-US" w:eastAsia="zh-CN"/>
        </w:rPr>
        <w:t>（二）调研结论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楷体"/>
          <w:bCs/>
          <w:sz w:val="24"/>
          <w:szCs w:val="24"/>
          <w:lang w:val="en-US" w:eastAsia="zh-CN"/>
        </w:rPr>
      </w:pPr>
      <w:r>
        <w:rPr>
          <w:rFonts w:hint="eastAsia" w:ascii="仿宋" w:hAnsi="仿宋" w:eastAsia="仿宋" w:cs="方正楷体_GB2312"/>
          <w:bCs/>
          <w:color w:val="000000"/>
          <w:sz w:val="24"/>
        </w:rPr>
        <w:t>为确保江西省</w:t>
      </w:r>
      <w:r>
        <w:rPr>
          <w:rFonts w:hint="eastAsia" w:ascii="仿宋" w:hAnsi="仿宋" w:eastAsia="仿宋" w:cs="楷体"/>
          <w:bCs/>
          <w:sz w:val="24"/>
          <w:szCs w:val="24"/>
          <w:lang w:val="en-US" w:eastAsia="zh-CN"/>
        </w:rPr>
        <w:t>园地林地草地定级和基准地价</w:t>
      </w:r>
      <w:r>
        <w:rPr>
          <w:rFonts w:hint="eastAsia" w:ascii="仿宋" w:hAnsi="仿宋" w:eastAsia="仿宋" w:cs="楷体"/>
          <w:bCs/>
          <w:sz w:val="24"/>
        </w:rPr>
        <w:t>评估服务能够保质保量的完成，</w:t>
      </w:r>
      <w:r>
        <w:rPr>
          <w:rFonts w:hint="eastAsia" w:ascii="仿宋" w:hAnsi="仿宋" w:eastAsia="仿宋" w:cs="楷体"/>
          <w:bCs/>
          <w:sz w:val="24"/>
          <w:lang w:eastAsia="zh-CN"/>
        </w:rPr>
        <w:t>让评估成果更好的</w:t>
      </w:r>
      <w:r>
        <w:rPr>
          <w:rFonts w:hint="default" w:ascii="仿宋" w:hAnsi="仿宋" w:eastAsia="仿宋" w:cs="仿宋"/>
          <w:bCs/>
          <w:sz w:val="24"/>
          <w:szCs w:val="24"/>
          <w:lang w:eastAsia="zh-CN"/>
        </w:rPr>
        <w:t>综合评价</w:t>
      </w:r>
      <w:r>
        <w:rPr>
          <w:rFonts w:hint="eastAsia" w:ascii="仿宋" w:hAnsi="仿宋" w:eastAsia="仿宋" w:cs="仿宋"/>
          <w:bCs/>
          <w:sz w:val="24"/>
          <w:szCs w:val="24"/>
          <w:lang w:eastAsia="zh-CN"/>
        </w:rPr>
        <w:t>出</w:t>
      </w:r>
      <w:r>
        <w:rPr>
          <w:rFonts w:hint="default" w:ascii="仿宋" w:hAnsi="仿宋" w:eastAsia="仿宋" w:cs="仿宋"/>
          <w:bCs/>
          <w:sz w:val="24"/>
          <w:szCs w:val="24"/>
          <w:lang w:eastAsia="zh-CN"/>
        </w:rPr>
        <w:t>区域内园地林地草地质量分布状况，显化园地林地草地资源资产质量和价值，</w:t>
      </w:r>
      <w:r>
        <w:rPr>
          <w:rFonts w:hint="eastAsia" w:ascii="仿宋" w:hAnsi="仿宋" w:eastAsia="仿宋" w:cs="仿宋"/>
          <w:bCs/>
          <w:sz w:val="24"/>
          <w:szCs w:val="24"/>
          <w:lang w:eastAsia="zh-CN"/>
        </w:rPr>
        <w:t>并能</w:t>
      </w:r>
      <w:r>
        <w:rPr>
          <w:rFonts w:hint="default" w:ascii="仿宋" w:hAnsi="仿宋" w:eastAsia="仿宋" w:cs="仿宋"/>
          <w:bCs/>
          <w:sz w:val="24"/>
          <w:szCs w:val="24"/>
          <w:lang w:eastAsia="zh-CN"/>
        </w:rPr>
        <w:t>直接服务于自然资源有偿使用、资产清查核算、税费管理等工作，</w:t>
      </w:r>
      <w:r>
        <w:rPr>
          <w:rFonts w:hint="eastAsia" w:ascii="仿宋" w:hAnsi="仿宋" w:eastAsia="仿宋" w:cs="仿宋"/>
          <w:bCs/>
          <w:sz w:val="24"/>
          <w:szCs w:val="24"/>
          <w:lang w:eastAsia="zh-CN"/>
        </w:rPr>
        <w:t>帮助</w:t>
      </w:r>
      <w:r>
        <w:rPr>
          <w:rFonts w:hint="default" w:ascii="仿宋" w:hAnsi="仿宋" w:eastAsia="仿宋" w:cs="仿宋"/>
          <w:bCs/>
          <w:sz w:val="24"/>
          <w:szCs w:val="24"/>
          <w:lang w:eastAsia="zh-CN"/>
        </w:rPr>
        <w:t>加强自然资源保护与合理开发利用，促进生态产品价值实现，推进自然资源管理向数量、质量与生态管护并重转变。</w:t>
      </w:r>
      <w:r>
        <w:rPr>
          <w:rFonts w:hint="eastAsia" w:ascii="仿宋" w:hAnsi="仿宋" w:eastAsia="仿宋" w:cs="仿宋"/>
          <w:bCs/>
          <w:color w:val="000000"/>
          <w:sz w:val="24"/>
        </w:rPr>
        <w:t>根据上述</w:t>
      </w:r>
      <w:r>
        <w:rPr>
          <w:rFonts w:hint="eastAsia" w:ascii="仿宋" w:hAnsi="仿宋" w:eastAsia="仿宋" w:cs="仿宋"/>
          <w:bCs/>
          <w:color w:val="000000"/>
          <w:sz w:val="24"/>
          <w:lang w:eastAsia="zh-CN"/>
        </w:rPr>
        <w:t>调研及测算成果，确定江西省</w:t>
      </w:r>
      <w:r>
        <w:rPr>
          <w:rFonts w:hint="eastAsia" w:ascii="仿宋" w:hAnsi="仿宋" w:eastAsia="仿宋" w:cs="楷体"/>
          <w:bCs/>
          <w:sz w:val="24"/>
          <w:szCs w:val="24"/>
          <w:lang w:val="en-US" w:eastAsia="zh-CN"/>
        </w:rPr>
        <w:t>园地林地草地定级和基准地价评估服务成本如下表：</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default" w:ascii="仿宋_GB2312" w:hAnsi="楷体" w:eastAsia="仿宋_GB2312" w:cs="楷体"/>
          <w:b/>
          <w:bCs/>
          <w:sz w:val="32"/>
          <w:szCs w:val="32"/>
          <w:lang w:val="en-US"/>
        </w:rPr>
      </w:pPr>
      <w:r>
        <w:rPr>
          <w:rFonts w:hint="eastAsia" w:ascii="仿宋" w:hAnsi="仿宋" w:eastAsia="仿宋" w:cs="仿宋"/>
          <w:b/>
          <w:bCs w:val="0"/>
          <w:color w:val="000000"/>
          <w:sz w:val="24"/>
          <w:lang w:val="en-US" w:eastAsia="zh-CN"/>
        </w:rPr>
        <w:t xml:space="preserve">    江西省园地草地林地定级和基准地价评估综合服务成本价</w:t>
      </w:r>
      <w:r>
        <w:rPr>
          <w:rFonts w:ascii="仿宋_GB2312" w:hAnsi="楷体" w:eastAsia="仿宋_GB2312" w:cs="楷体"/>
          <w:b/>
          <w:bCs/>
          <w:sz w:val="32"/>
          <w:szCs w:val="32"/>
        </w:rPr>
        <w:t xml:space="preserve">      </w:t>
      </w:r>
      <w:r>
        <w:rPr>
          <w:rFonts w:hint="eastAsia" w:ascii="仿宋" w:hAnsi="仿宋" w:eastAsia="仿宋" w:cs="仿宋"/>
          <w:b w:val="0"/>
          <w:bCs/>
          <w:color w:val="000000"/>
          <w:sz w:val="21"/>
          <w:szCs w:val="21"/>
          <w:lang w:val="en-US" w:eastAsia="zh-CN"/>
        </w:rPr>
        <w:t>表19</w:t>
      </w:r>
    </w:p>
    <w:tbl>
      <w:tblPr>
        <w:tblStyle w:val="7"/>
        <w:tblW w:w="946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846"/>
        <w:gridCol w:w="5167"/>
        <w:gridCol w:w="15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62" w:type="dxa"/>
            <w:tcBorders>
              <w:top w:val="single" w:color="73C652" w:sz="12" w:space="0"/>
              <w:left w:val="single" w:color="73C652" w:sz="12" w:space="0"/>
              <w:bottom w:val="single" w:color="73C652" w:sz="4" w:space="0"/>
              <w:right w:val="dotted" w:color="auto" w:sz="4" w:space="0"/>
            </w:tcBorders>
            <w:shd w:val="clear" w:color="auto" w:fill="97D57F"/>
            <w:noWrap w:val="0"/>
            <w:vAlign w:val="center"/>
          </w:tcPr>
          <w:p>
            <w:pPr>
              <w:spacing w:line="240" w:lineRule="atLeast"/>
              <w:jc w:val="center"/>
              <w:rPr>
                <w:rFonts w:hint="default"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序号</w:t>
            </w:r>
          </w:p>
        </w:tc>
        <w:tc>
          <w:tcPr>
            <w:tcW w:w="1846" w:type="dxa"/>
            <w:tcBorders>
              <w:top w:val="single" w:color="73C652" w:sz="12" w:space="0"/>
              <w:left w:val="dotted" w:color="auto" w:sz="4" w:space="0"/>
              <w:bottom w:val="single" w:color="73C652" w:sz="4" w:space="0"/>
              <w:right w:val="dotted" w:color="auto" w:sz="4" w:space="0"/>
            </w:tcBorders>
            <w:shd w:val="clear" w:color="auto" w:fill="97D57F"/>
            <w:noWrap w:val="0"/>
            <w:vAlign w:val="center"/>
          </w:tcPr>
          <w:p>
            <w:pPr>
              <w:spacing w:line="240" w:lineRule="atLeast"/>
              <w:jc w:val="center"/>
              <w:rPr>
                <w:rFonts w:hint="eastAsia" w:ascii="仿宋" w:hAnsi="仿宋" w:eastAsia="仿宋" w:cs="仿宋"/>
                <w:b/>
                <w:color w:val="000000"/>
                <w:sz w:val="24"/>
                <w:szCs w:val="24"/>
              </w:rPr>
            </w:pPr>
            <w:r>
              <w:rPr>
                <w:rFonts w:hint="eastAsia" w:ascii="仿宋" w:hAnsi="仿宋" w:eastAsia="仿宋" w:cs="仿宋"/>
                <w:b/>
                <w:color w:val="000000"/>
                <w:sz w:val="24"/>
                <w:szCs w:val="24"/>
                <w:lang w:val="en-US" w:eastAsia="zh-CN"/>
              </w:rPr>
              <w:t>评估范围</w:t>
            </w:r>
            <w:r>
              <w:rPr>
                <w:rFonts w:hint="eastAsia" w:ascii="仿宋" w:hAnsi="仿宋" w:eastAsia="仿宋" w:cs="仿宋"/>
                <w:b/>
                <w:color w:val="000000"/>
                <w:sz w:val="24"/>
                <w:szCs w:val="24"/>
              </w:rPr>
              <w:t>面积（平方公里）</w:t>
            </w:r>
          </w:p>
        </w:tc>
        <w:tc>
          <w:tcPr>
            <w:tcW w:w="5167" w:type="dxa"/>
            <w:tcBorders>
              <w:top w:val="single" w:color="73C652" w:sz="12" w:space="0"/>
              <w:left w:val="dotted" w:color="auto" w:sz="4" w:space="0"/>
              <w:bottom w:val="single" w:color="73C652" w:sz="4" w:space="0"/>
              <w:right w:val="dotted" w:color="auto" w:sz="4" w:space="0"/>
            </w:tcBorders>
            <w:shd w:val="clear" w:color="auto" w:fill="97D57F"/>
            <w:noWrap w:val="0"/>
            <w:vAlign w:val="center"/>
          </w:tcPr>
          <w:p>
            <w:pPr>
              <w:spacing w:line="240" w:lineRule="atLeast"/>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主要工作内容</w:t>
            </w:r>
          </w:p>
        </w:tc>
        <w:tc>
          <w:tcPr>
            <w:tcW w:w="1590" w:type="dxa"/>
            <w:tcBorders>
              <w:top w:val="single" w:color="73C652" w:sz="12" w:space="0"/>
              <w:left w:val="dotted" w:color="auto" w:sz="4" w:space="0"/>
              <w:bottom w:val="single" w:color="73C652" w:sz="4" w:space="0"/>
              <w:right w:val="single" w:color="73C652" w:sz="12" w:space="0"/>
            </w:tcBorders>
            <w:shd w:val="clear" w:color="auto" w:fill="97D57F"/>
            <w:noWrap w:val="0"/>
            <w:vAlign w:val="center"/>
          </w:tcPr>
          <w:p>
            <w:pPr>
              <w:spacing w:line="240" w:lineRule="atLeast"/>
              <w:jc w:val="center"/>
              <w:rPr>
                <w:rFonts w:hint="eastAsia" w:ascii="仿宋" w:hAnsi="仿宋" w:eastAsia="仿宋" w:cs="仿宋"/>
                <w:b/>
                <w:color w:val="000000"/>
                <w:sz w:val="24"/>
                <w:szCs w:val="24"/>
                <w:lang w:eastAsia="zh-CN"/>
              </w:rPr>
            </w:pPr>
            <w:r>
              <w:rPr>
                <w:rFonts w:hint="eastAsia" w:ascii="仿宋" w:hAnsi="仿宋" w:eastAsia="仿宋" w:cs="仿宋"/>
                <w:b/>
                <w:color w:val="000000"/>
                <w:sz w:val="24"/>
                <w:szCs w:val="24"/>
                <w:lang w:eastAsia="zh-CN"/>
              </w:rPr>
              <w:t>成本价</w:t>
            </w:r>
          </w:p>
          <w:p>
            <w:pPr>
              <w:spacing w:line="240" w:lineRule="atLeast"/>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62" w:type="dxa"/>
            <w:tcBorders>
              <w:top w:val="single" w:color="73C652" w:sz="4" w:space="0"/>
              <w:left w:val="single" w:color="73C652" w:sz="12" w:space="0"/>
              <w:bottom w:val="dotted" w:color="auto" w:sz="4" w:space="0"/>
              <w:right w:val="dotted" w:color="auto" w:sz="4" w:space="0"/>
            </w:tcBorders>
            <w:shd w:val="clear" w:color="auto" w:fill="F1FAED"/>
            <w:noWrap w:val="0"/>
            <w:vAlign w:val="center"/>
          </w:tcPr>
          <w:p>
            <w:pPr>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p>
        </w:tc>
        <w:tc>
          <w:tcPr>
            <w:tcW w:w="1846" w:type="dxa"/>
            <w:tcBorders>
              <w:top w:val="single" w:color="73C652" w:sz="4" w:space="0"/>
              <w:left w:val="dotted" w:color="auto" w:sz="4" w:space="0"/>
              <w:bottom w:val="dotted" w:color="auto" w:sz="4" w:space="0"/>
              <w:right w:val="dotted" w:color="auto" w:sz="4" w:space="0"/>
            </w:tcBorders>
            <w:shd w:val="clear" w:color="auto" w:fill="CEECC3"/>
            <w:noWrap w:val="0"/>
            <w:vAlign w:val="center"/>
          </w:tcPr>
          <w:p>
            <w:pPr>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＜1000</w:t>
            </w:r>
          </w:p>
        </w:tc>
        <w:tc>
          <w:tcPr>
            <w:tcW w:w="5167" w:type="dxa"/>
            <w:tcBorders>
              <w:top w:val="single" w:color="73C652" w:sz="4" w:space="0"/>
              <w:left w:val="dotted" w:color="auto" w:sz="4" w:space="0"/>
              <w:bottom w:val="dotted" w:color="auto" w:sz="4" w:space="0"/>
              <w:right w:val="dotted" w:color="auto" w:sz="4" w:space="0"/>
            </w:tcBorders>
            <w:shd w:val="clear" w:color="auto" w:fill="F1FAED"/>
            <w:noWrap w:val="0"/>
            <w:vAlign w:val="center"/>
          </w:tcPr>
          <w:p>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园地、草地、林地</w:t>
            </w:r>
            <w:r>
              <w:rPr>
                <w:rFonts w:hint="eastAsia" w:ascii="仿宋" w:hAnsi="仿宋" w:eastAsia="仿宋" w:cs="仿宋"/>
                <w:color w:val="000000"/>
                <w:sz w:val="24"/>
                <w:szCs w:val="24"/>
              </w:rPr>
              <w:t>分类定级：编绘</w:t>
            </w:r>
            <w:r>
              <w:rPr>
                <w:rFonts w:hint="eastAsia" w:ascii="仿宋" w:hAnsi="仿宋" w:eastAsia="仿宋" w:cs="仿宋"/>
                <w:color w:val="000000"/>
                <w:sz w:val="24"/>
                <w:szCs w:val="24"/>
                <w:lang w:eastAsia="zh-CN"/>
              </w:rPr>
              <w:t>园地、草地、林地</w:t>
            </w:r>
            <w:r>
              <w:rPr>
                <w:rFonts w:hint="eastAsia" w:ascii="仿宋" w:hAnsi="仿宋" w:eastAsia="仿宋" w:cs="仿宋"/>
                <w:color w:val="000000"/>
                <w:sz w:val="24"/>
                <w:szCs w:val="24"/>
              </w:rPr>
              <w:t>级别图和土地定级与基准地价</w:t>
            </w:r>
            <w:r>
              <w:rPr>
                <w:rFonts w:hint="eastAsia" w:ascii="仿宋" w:hAnsi="仿宋" w:eastAsia="仿宋" w:cs="仿宋"/>
                <w:color w:val="000000"/>
                <w:sz w:val="24"/>
                <w:szCs w:val="24"/>
                <w:lang w:val="en-US" w:eastAsia="zh-CN"/>
              </w:rPr>
              <w:t>评估</w:t>
            </w:r>
            <w:r>
              <w:rPr>
                <w:rFonts w:hint="eastAsia" w:ascii="仿宋" w:hAnsi="仿宋" w:eastAsia="仿宋" w:cs="仿宋"/>
                <w:color w:val="000000"/>
                <w:sz w:val="24"/>
                <w:szCs w:val="24"/>
              </w:rPr>
              <w:t>报告</w:t>
            </w:r>
          </w:p>
        </w:tc>
        <w:tc>
          <w:tcPr>
            <w:tcW w:w="1590" w:type="dxa"/>
            <w:tcBorders>
              <w:top w:val="single" w:color="73C652" w:sz="4" w:space="0"/>
              <w:left w:val="dotted" w:color="auto" w:sz="4" w:space="0"/>
              <w:bottom w:val="dotted" w:color="auto" w:sz="4" w:space="0"/>
              <w:right w:val="single" w:color="73C652" w:sz="12" w:space="0"/>
            </w:tcBorders>
            <w:shd w:val="clear" w:color="auto" w:fill="CEECC3"/>
            <w:noWrap w:val="0"/>
            <w:vAlign w:val="center"/>
          </w:tcPr>
          <w:p>
            <w:pPr>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30-40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62" w:type="dxa"/>
            <w:tcBorders>
              <w:top w:val="dotted" w:color="auto" w:sz="4" w:space="0"/>
              <w:left w:val="single" w:color="73C652" w:sz="12" w:space="0"/>
              <w:bottom w:val="dotted" w:color="auto" w:sz="4" w:space="0"/>
              <w:right w:val="dotted" w:color="auto" w:sz="4" w:space="0"/>
            </w:tcBorders>
            <w:shd w:val="clear" w:color="auto" w:fill="F1FAED"/>
            <w:noWrap w:val="0"/>
            <w:vAlign w:val="center"/>
          </w:tcPr>
          <w:p>
            <w:pPr>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846" w:type="dxa"/>
            <w:tcBorders>
              <w:top w:val="dotted" w:color="auto" w:sz="4" w:space="0"/>
              <w:left w:val="dotted" w:color="auto" w:sz="4" w:space="0"/>
              <w:bottom w:val="dotted" w:color="auto" w:sz="4" w:space="0"/>
              <w:right w:val="dotted" w:color="auto" w:sz="4" w:space="0"/>
            </w:tcBorders>
            <w:shd w:val="clear" w:color="auto" w:fill="FFFFFF"/>
            <w:noWrap w:val="0"/>
            <w:vAlign w:val="center"/>
          </w:tcPr>
          <w:p>
            <w:pPr>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1000≤S＜2000</w:t>
            </w:r>
          </w:p>
        </w:tc>
        <w:tc>
          <w:tcPr>
            <w:tcW w:w="5167" w:type="dxa"/>
            <w:tcBorders>
              <w:top w:val="dotted" w:color="auto" w:sz="4" w:space="0"/>
              <w:left w:val="dotted" w:color="auto" w:sz="4" w:space="0"/>
              <w:bottom w:val="dotted" w:color="auto" w:sz="4" w:space="0"/>
              <w:right w:val="dotted" w:color="auto" w:sz="4" w:space="0"/>
            </w:tcBorders>
            <w:shd w:val="clear" w:color="auto" w:fill="F1FAED"/>
            <w:noWrap w:val="0"/>
            <w:vAlign w:val="center"/>
          </w:tcPr>
          <w:p>
            <w:pPr>
              <w:spacing w:line="240" w:lineRule="atLeast"/>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园地、草地、林地</w:t>
            </w:r>
            <w:r>
              <w:rPr>
                <w:rFonts w:hint="eastAsia" w:ascii="仿宋" w:hAnsi="仿宋" w:eastAsia="仿宋" w:cs="仿宋"/>
                <w:color w:val="000000"/>
                <w:sz w:val="24"/>
                <w:szCs w:val="24"/>
              </w:rPr>
              <w:t>分类定级：编绘</w:t>
            </w:r>
            <w:r>
              <w:rPr>
                <w:rFonts w:hint="eastAsia" w:ascii="仿宋" w:hAnsi="仿宋" w:eastAsia="仿宋" w:cs="仿宋"/>
                <w:color w:val="000000"/>
                <w:sz w:val="24"/>
                <w:szCs w:val="24"/>
                <w:lang w:eastAsia="zh-CN"/>
              </w:rPr>
              <w:t>园地、草地、林地</w:t>
            </w:r>
            <w:r>
              <w:rPr>
                <w:rFonts w:hint="eastAsia" w:ascii="仿宋" w:hAnsi="仿宋" w:eastAsia="仿宋" w:cs="仿宋"/>
                <w:color w:val="000000"/>
                <w:sz w:val="24"/>
                <w:szCs w:val="24"/>
              </w:rPr>
              <w:t>级别图和土地定级与基准地价</w:t>
            </w:r>
            <w:r>
              <w:rPr>
                <w:rFonts w:hint="eastAsia" w:ascii="仿宋" w:hAnsi="仿宋" w:eastAsia="仿宋" w:cs="仿宋"/>
                <w:color w:val="000000"/>
                <w:sz w:val="24"/>
                <w:szCs w:val="24"/>
                <w:lang w:eastAsia="zh-CN"/>
              </w:rPr>
              <w:t>评估报告</w:t>
            </w:r>
          </w:p>
        </w:tc>
        <w:tc>
          <w:tcPr>
            <w:tcW w:w="1590" w:type="dxa"/>
            <w:tcBorders>
              <w:top w:val="dotted" w:color="auto" w:sz="4" w:space="0"/>
              <w:left w:val="dotted" w:color="auto" w:sz="4" w:space="0"/>
              <w:bottom w:val="dotted" w:color="auto" w:sz="4" w:space="0"/>
              <w:right w:val="single" w:color="73C652" w:sz="12" w:space="0"/>
            </w:tcBorders>
            <w:shd w:val="clear" w:color="auto" w:fill="FFFFFF"/>
            <w:noWrap w:val="0"/>
            <w:vAlign w:val="center"/>
          </w:tcPr>
          <w:p>
            <w:pPr>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40-60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62" w:type="dxa"/>
            <w:tcBorders>
              <w:top w:val="dotted" w:color="auto" w:sz="4" w:space="0"/>
              <w:left w:val="single" w:color="73C652" w:sz="12" w:space="0"/>
              <w:bottom w:val="dotted" w:color="auto" w:sz="4" w:space="0"/>
              <w:right w:val="dotted" w:color="auto" w:sz="4" w:space="0"/>
            </w:tcBorders>
            <w:shd w:val="clear" w:color="auto" w:fill="F1FAED"/>
            <w:noWrap w:val="0"/>
            <w:vAlign w:val="center"/>
          </w:tcPr>
          <w:p>
            <w:pPr>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w:t>
            </w:r>
          </w:p>
        </w:tc>
        <w:tc>
          <w:tcPr>
            <w:tcW w:w="1846" w:type="dxa"/>
            <w:tcBorders>
              <w:top w:val="dotted" w:color="auto" w:sz="4" w:space="0"/>
              <w:left w:val="dotted" w:color="auto" w:sz="4" w:space="0"/>
              <w:bottom w:val="dotted" w:color="auto" w:sz="4" w:space="0"/>
              <w:right w:val="dotted" w:color="auto" w:sz="4" w:space="0"/>
            </w:tcBorders>
            <w:shd w:val="clear" w:color="auto" w:fill="CEECC3"/>
            <w:noWrap w:val="0"/>
            <w:vAlign w:val="center"/>
          </w:tcPr>
          <w:p>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2000≤S＜3000</w:t>
            </w:r>
          </w:p>
        </w:tc>
        <w:tc>
          <w:tcPr>
            <w:tcW w:w="5167" w:type="dxa"/>
            <w:tcBorders>
              <w:top w:val="dotted" w:color="auto" w:sz="4" w:space="0"/>
              <w:left w:val="dotted" w:color="auto" w:sz="4" w:space="0"/>
              <w:bottom w:val="dotted" w:color="auto" w:sz="4" w:space="0"/>
              <w:right w:val="dotted" w:color="auto" w:sz="4" w:space="0"/>
            </w:tcBorders>
            <w:shd w:val="clear" w:color="auto" w:fill="F1FAED"/>
            <w:noWrap w:val="0"/>
            <w:vAlign w:val="center"/>
          </w:tcPr>
          <w:p>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园地、草地、林地</w:t>
            </w:r>
            <w:r>
              <w:rPr>
                <w:rFonts w:hint="eastAsia" w:ascii="仿宋" w:hAnsi="仿宋" w:eastAsia="仿宋" w:cs="仿宋"/>
                <w:color w:val="000000"/>
                <w:sz w:val="24"/>
                <w:szCs w:val="24"/>
              </w:rPr>
              <w:t>分类定级：编绘</w:t>
            </w:r>
            <w:r>
              <w:rPr>
                <w:rFonts w:hint="eastAsia" w:ascii="仿宋" w:hAnsi="仿宋" w:eastAsia="仿宋" w:cs="仿宋"/>
                <w:color w:val="000000"/>
                <w:sz w:val="24"/>
                <w:szCs w:val="24"/>
                <w:lang w:eastAsia="zh-CN"/>
              </w:rPr>
              <w:t>园地、草地、林地</w:t>
            </w:r>
            <w:r>
              <w:rPr>
                <w:rFonts w:hint="eastAsia" w:ascii="仿宋" w:hAnsi="仿宋" w:eastAsia="仿宋" w:cs="仿宋"/>
                <w:color w:val="000000"/>
                <w:sz w:val="24"/>
                <w:szCs w:val="24"/>
              </w:rPr>
              <w:t>级别图和土地定级与基准地价</w:t>
            </w:r>
            <w:r>
              <w:rPr>
                <w:rFonts w:hint="eastAsia" w:ascii="仿宋" w:hAnsi="仿宋" w:eastAsia="仿宋" w:cs="仿宋"/>
                <w:color w:val="000000"/>
                <w:sz w:val="24"/>
                <w:szCs w:val="24"/>
                <w:lang w:eastAsia="zh-CN"/>
              </w:rPr>
              <w:t>评估报告</w:t>
            </w:r>
          </w:p>
        </w:tc>
        <w:tc>
          <w:tcPr>
            <w:tcW w:w="1590" w:type="dxa"/>
            <w:tcBorders>
              <w:top w:val="dotted" w:color="auto" w:sz="4" w:space="0"/>
              <w:left w:val="dotted" w:color="auto" w:sz="4" w:space="0"/>
              <w:bottom w:val="dotted" w:color="auto" w:sz="4" w:space="0"/>
              <w:right w:val="single" w:color="73C652" w:sz="12" w:space="0"/>
            </w:tcBorders>
            <w:shd w:val="clear" w:color="auto" w:fill="CEECC3"/>
            <w:noWrap w:val="0"/>
            <w:vAlign w:val="center"/>
          </w:tcPr>
          <w:p>
            <w:pPr>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60-80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62" w:type="dxa"/>
            <w:tcBorders>
              <w:top w:val="dotted" w:color="auto" w:sz="4" w:space="0"/>
              <w:left w:val="single" w:color="73C652" w:sz="12" w:space="0"/>
              <w:bottom w:val="single" w:color="73C652" w:sz="12" w:space="0"/>
              <w:right w:val="dotted" w:color="auto" w:sz="4" w:space="0"/>
            </w:tcBorders>
            <w:shd w:val="clear" w:color="auto" w:fill="97D57F"/>
            <w:noWrap w:val="0"/>
            <w:vAlign w:val="center"/>
          </w:tcPr>
          <w:p>
            <w:pPr>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w:t>
            </w:r>
          </w:p>
        </w:tc>
        <w:tc>
          <w:tcPr>
            <w:tcW w:w="1846" w:type="dxa"/>
            <w:tcBorders>
              <w:top w:val="dotted" w:color="auto" w:sz="4" w:space="0"/>
              <w:left w:val="dotted" w:color="auto" w:sz="4" w:space="0"/>
              <w:bottom w:val="single" w:color="73C652" w:sz="12" w:space="0"/>
              <w:right w:val="dotted" w:color="auto" w:sz="4" w:space="0"/>
            </w:tcBorders>
            <w:shd w:val="clear" w:color="auto" w:fill="97D57F"/>
            <w:noWrap w:val="0"/>
            <w:vAlign w:val="center"/>
          </w:tcPr>
          <w:p>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≥3000</w:t>
            </w:r>
          </w:p>
        </w:tc>
        <w:tc>
          <w:tcPr>
            <w:tcW w:w="5167" w:type="dxa"/>
            <w:tcBorders>
              <w:top w:val="dotted" w:color="auto" w:sz="4" w:space="0"/>
              <w:left w:val="dotted" w:color="auto" w:sz="4" w:space="0"/>
              <w:bottom w:val="single" w:color="73C652" w:sz="12" w:space="0"/>
              <w:right w:val="dotted" w:color="auto" w:sz="4" w:space="0"/>
            </w:tcBorders>
            <w:shd w:val="clear" w:color="auto" w:fill="97D57F"/>
            <w:noWrap w:val="0"/>
            <w:vAlign w:val="center"/>
          </w:tcPr>
          <w:p>
            <w:pPr>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园地、草地、林地</w:t>
            </w:r>
            <w:r>
              <w:rPr>
                <w:rFonts w:hint="eastAsia" w:ascii="仿宋" w:hAnsi="仿宋" w:eastAsia="仿宋" w:cs="仿宋"/>
                <w:color w:val="000000"/>
                <w:sz w:val="24"/>
                <w:szCs w:val="24"/>
              </w:rPr>
              <w:t>分类定级：编绘</w:t>
            </w:r>
            <w:r>
              <w:rPr>
                <w:rFonts w:hint="eastAsia" w:ascii="仿宋" w:hAnsi="仿宋" w:eastAsia="仿宋" w:cs="仿宋"/>
                <w:color w:val="000000"/>
                <w:sz w:val="24"/>
                <w:szCs w:val="24"/>
                <w:lang w:eastAsia="zh-CN"/>
              </w:rPr>
              <w:t>园地、草地、林地</w:t>
            </w:r>
            <w:r>
              <w:rPr>
                <w:rFonts w:hint="eastAsia" w:ascii="仿宋" w:hAnsi="仿宋" w:eastAsia="仿宋" w:cs="仿宋"/>
                <w:color w:val="000000"/>
                <w:sz w:val="24"/>
                <w:szCs w:val="24"/>
              </w:rPr>
              <w:t>级别图和土地定级与基准地价</w:t>
            </w:r>
            <w:r>
              <w:rPr>
                <w:rFonts w:hint="eastAsia" w:ascii="仿宋" w:hAnsi="仿宋" w:eastAsia="仿宋" w:cs="仿宋"/>
                <w:color w:val="000000"/>
                <w:sz w:val="24"/>
                <w:szCs w:val="24"/>
                <w:lang w:eastAsia="zh-CN"/>
              </w:rPr>
              <w:t>评估报告</w:t>
            </w:r>
          </w:p>
        </w:tc>
        <w:tc>
          <w:tcPr>
            <w:tcW w:w="1590" w:type="dxa"/>
            <w:tcBorders>
              <w:top w:val="dotted" w:color="auto" w:sz="4" w:space="0"/>
              <w:left w:val="dotted" w:color="auto" w:sz="4" w:space="0"/>
              <w:bottom w:val="single" w:color="73C652" w:sz="12" w:space="0"/>
              <w:right w:val="single" w:color="73C652" w:sz="12" w:space="0"/>
            </w:tcBorders>
            <w:shd w:val="clear" w:color="auto" w:fill="97D57F"/>
            <w:noWrap w:val="0"/>
            <w:vAlign w:val="center"/>
          </w:tcPr>
          <w:p>
            <w:pPr>
              <w:spacing w:line="240" w:lineRule="atLeast"/>
              <w:jc w:val="center"/>
              <w:rPr>
                <w:rFonts w:hint="default" w:ascii="仿宋" w:hAnsi="仿宋" w:eastAsia="仿宋" w:cs="仿宋"/>
                <w:color w:val="000000"/>
                <w:sz w:val="24"/>
                <w:szCs w:val="24"/>
                <w:lang w:val="en-US"/>
              </w:rPr>
            </w:pPr>
            <w:r>
              <w:rPr>
                <w:rFonts w:hint="eastAsia" w:ascii="仿宋" w:hAnsi="仿宋" w:eastAsia="仿宋" w:cs="仿宋"/>
                <w:color w:val="000000"/>
                <w:sz w:val="24"/>
                <w:szCs w:val="24"/>
                <w:lang w:val="en-US" w:eastAsia="zh-CN"/>
              </w:rPr>
              <w:t>80-100</w:t>
            </w:r>
          </w:p>
        </w:tc>
      </w:tr>
    </w:tbl>
    <w:p>
      <w:pPr>
        <w:keepNext w:val="0"/>
        <w:keepLines w:val="0"/>
        <w:pageBreakBefore w:val="0"/>
        <w:widowControl w:val="0"/>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上述成本价进行验证如下：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lang w:val="en-US" w:eastAsia="zh-CN"/>
        </w:rPr>
      </w:pPr>
      <w:r>
        <w:rPr>
          <w:rFonts w:hint="eastAsia" w:ascii="仿宋" w:hAnsi="仿宋" w:eastAsia="仿宋" w:cs="仿宋"/>
          <w:bCs/>
          <w:sz w:val="24"/>
          <w:szCs w:val="24"/>
          <w:lang w:val="en-US" w:eastAsia="zh-CN"/>
        </w:rPr>
        <w:t>1、评估面积</w:t>
      </w:r>
      <w:r>
        <w:rPr>
          <w:rFonts w:hint="eastAsia" w:ascii="仿宋" w:hAnsi="仿宋" w:eastAsia="仿宋" w:cs="仿宋"/>
          <w:color w:val="000000"/>
          <w:sz w:val="24"/>
          <w:szCs w:val="24"/>
          <w:lang w:val="en-US" w:eastAsia="zh-CN"/>
        </w:rPr>
        <w:t>＜1000平方公里的园地林地草地定级和基准地价评估服务成本价在30-40万元，与全国评估面积＜1000平方公里的园地林地草地定级和基准地价评估项目的平均收费34.27万元吻合；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r>
        <w:rPr>
          <w:rFonts w:hint="eastAsia" w:ascii="仿宋" w:hAnsi="仿宋" w:eastAsia="仿宋" w:cs="仿宋"/>
          <w:bCs/>
          <w:color w:val="000000"/>
          <w:sz w:val="24"/>
          <w:szCs w:val="24"/>
          <w:lang w:val="en-US" w:eastAsia="zh-CN"/>
        </w:rPr>
        <w:t>1000km²≤评估面积＜2000km²的</w:t>
      </w:r>
      <w:r>
        <w:rPr>
          <w:rFonts w:hint="eastAsia" w:ascii="仿宋" w:hAnsi="仿宋" w:eastAsia="仿宋" w:cs="仿宋"/>
          <w:color w:val="000000"/>
          <w:sz w:val="24"/>
          <w:szCs w:val="24"/>
          <w:lang w:val="en-US" w:eastAsia="zh-CN"/>
        </w:rPr>
        <w:t>园地林地草地定级和基准地价评估服务成本价在40-60万元，与全国</w:t>
      </w:r>
      <w:r>
        <w:rPr>
          <w:rFonts w:hint="eastAsia" w:ascii="仿宋" w:hAnsi="仿宋" w:eastAsia="仿宋" w:cs="仿宋"/>
          <w:bCs/>
          <w:color w:val="000000"/>
          <w:sz w:val="24"/>
          <w:szCs w:val="24"/>
          <w:lang w:val="en-US" w:eastAsia="zh-CN"/>
        </w:rPr>
        <w:t>1000km²≤评估面积＜2000km²</w:t>
      </w:r>
      <w:r>
        <w:rPr>
          <w:rFonts w:hint="eastAsia" w:ascii="仿宋" w:hAnsi="仿宋" w:eastAsia="仿宋" w:cs="仿宋"/>
          <w:color w:val="000000"/>
          <w:sz w:val="24"/>
          <w:szCs w:val="24"/>
          <w:lang w:val="en-US" w:eastAsia="zh-CN"/>
        </w:rPr>
        <w:t>的园地林地草地定级和基准地价评估项目的平均收费41.74万元及测算成本价60.18万元吻合，比</w:t>
      </w:r>
      <w:r>
        <w:rPr>
          <w:rFonts w:hint="eastAsia" w:ascii="仿宋" w:hAnsi="仿宋" w:eastAsia="仿宋" w:cs="楷体"/>
          <w:bCs/>
          <w:sz w:val="24"/>
          <w:szCs w:val="24"/>
          <w:lang w:val="en-US" w:eastAsia="zh-CN"/>
        </w:rPr>
        <w:t>15个乡镇的县域农用地定级和基准地价服务成本为60-75万元低</w:t>
      </w:r>
      <w:r>
        <w:rPr>
          <w:rFonts w:hint="eastAsia" w:ascii="仿宋" w:hAnsi="仿宋" w:eastAsia="仿宋" w:cs="仿宋"/>
          <w:color w:val="000000"/>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w:t>
      </w:r>
      <w:r>
        <w:rPr>
          <w:rFonts w:hint="eastAsia" w:ascii="仿宋" w:hAnsi="仿宋" w:eastAsia="仿宋" w:cs="仿宋"/>
          <w:bCs/>
          <w:color w:val="000000"/>
          <w:sz w:val="24"/>
          <w:szCs w:val="24"/>
          <w:lang w:val="en-US" w:eastAsia="zh-CN"/>
        </w:rPr>
        <w:t>2000km²≤评估面积＜3000km²的</w:t>
      </w:r>
      <w:r>
        <w:rPr>
          <w:rFonts w:hint="eastAsia" w:ascii="仿宋" w:hAnsi="仿宋" w:eastAsia="仿宋" w:cs="仿宋"/>
          <w:color w:val="000000"/>
          <w:sz w:val="24"/>
          <w:szCs w:val="24"/>
          <w:lang w:val="en-US" w:eastAsia="zh-CN"/>
        </w:rPr>
        <w:t>园地林地草地定级和基准地价评估服务成本价在60-80万元,与全国</w:t>
      </w:r>
      <w:r>
        <w:rPr>
          <w:rFonts w:hint="eastAsia" w:ascii="仿宋" w:hAnsi="仿宋" w:eastAsia="仿宋" w:cs="仿宋"/>
          <w:bCs/>
          <w:color w:val="000000"/>
          <w:sz w:val="24"/>
          <w:szCs w:val="24"/>
          <w:lang w:val="en-US" w:eastAsia="zh-CN"/>
        </w:rPr>
        <w:t>2000km²≤评估面积＜3000km²</w:t>
      </w:r>
      <w:r>
        <w:rPr>
          <w:rFonts w:hint="eastAsia" w:ascii="仿宋" w:hAnsi="仿宋" w:eastAsia="仿宋" w:cs="仿宋"/>
          <w:color w:val="000000"/>
          <w:sz w:val="24"/>
          <w:szCs w:val="24"/>
          <w:lang w:val="en-US" w:eastAsia="zh-CN"/>
        </w:rPr>
        <w:t>的园地林地草地定级和基准地价评估项目的平均收费60.38万元吻合；</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评估面积≥3000</w:t>
      </w:r>
      <w:r>
        <w:rPr>
          <w:rFonts w:hint="eastAsia" w:ascii="仿宋" w:hAnsi="仿宋" w:eastAsia="仿宋" w:cs="仿宋"/>
          <w:bCs/>
          <w:color w:val="000000"/>
          <w:sz w:val="24"/>
          <w:szCs w:val="24"/>
          <w:lang w:val="en-US" w:eastAsia="zh-CN"/>
        </w:rPr>
        <w:t>km²的</w:t>
      </w:r>
      <w:r>
        <w:rPr>
          <w:rFonts w:hint="eastAsia" w:ascii="仿宋" w:hAnsi="仿宋" w:eastAsia="仿宋" w:cs="仿宋"/>
          <w:color w:val="000000"/>
          <w:sz w:val="24"/>
          <w:szCs w:val="24"/>
          <w:lang w:val="en-US" w:eastAsia="zh-CN"/>
        </w:rPr>
        <w:t>园地林地草地定级和基准地价评估服务成本价在80-100万元，与全国评估面积≥3000</w:t>
      </w:r>
      <w:r>
        <w:rPr>
          <w:rFonts w:hint="eastAsia" w:ascii="仿宋" w:hAnsi="仿宋" w:eastAsia="仿宋" w:cs="仿宋"/>
          <w:bCs/>
          <w:color w:val="000000"/>
          <w:sz w:val="24"/>
          <w:szCs w:val="24"/>
          <w:lang w:val="en-US" w:eastAsia="zh-CN"/>
        </w:rPr>
        <w:t>km²</w:t>
      </w:r>
      <w:r>
        <w:rPr>
          <w:rFonts w:hint="eastAsia" w:ascii="仿宋" w:hAnsi="仿宋" w:eastAsia="仿宋" w:cs="仿宋"/>
          <w:color w:val="000000"/>
          <w:sz w:val="24"/>
          <w:szCs w:val="24"/>
          <w:lang w:val="en-US" w:eastAsia="zh-CN"/>
        </w:rPr>
        <w:t>的园地林地草地定级和基准地价评估项目的平均收费98.61万元吻合。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仿宋" w:hAnsi="仿宋" w:eastAsia="仿宋" w:cs="仿宋"/>
          <w:color w:val="00000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仿宋" w:hAnsi="仿宋" w:eastAsia="仿宋" w:cs="仿宋"/>
          <w:color w:val="000000"/>
          <w:sz w:val="24"/>
          <w:szCs w:val="24"/>
          <w:lang w:val="en-US" w:eastAsia="zh-CN"/>
        </w:rPr>
        <w:sectPr>
          <w:footerReference r:id="rId4" w:type="default"/>
          <w:pgSz w:w="11911" w:h="16838"/>
          <w:pgMar w:top="1502" w:right="1259" w:bottom="1179" w:left="1417" w:header="0" w:footer="992" w:gutter="0"/>
          <w:pgBorders>
            <w:top w:val="none" w:sz="0" w:space="0"/>
            <w:left w:val="none" w:sz="0" w:space="0"/>
            <w:bottom w:val="none" w:sz="0" w:space="0"/>
            <w:right w:val="none" w:sz="0" w:space="0"/>
          </w:pgBorders>
          <w:pgNumType w:start="1"/>
          <w:cols w:space="0" w:num="1"/>
          <w:rtlGutter w:val="0"/>
          <w:docGrid w:linePitch="319" w:charSpace="0"/>
        </w:sectPr>
      </w:pPr>
    </w:p>
    <w:p>
      <w:pPr>
        <w:spacing w:line="360" w:lineRule="auto"/>
        <w:jc w:val="left"/>
        <w:rPr>
          <w:rFonts w:hint="eastAsia" w:ascii="仿宋" w:hAnsi="仿宋" w:eastAsia="仿宋" w:cs="楷体_GB2312"/>
          <w:bCs/>
          <w:color w:val="000000"/>
          <w:sz w:val="32"/>
          <w:szCs w:val="32"/>
          <w:lang w:val="en-US" w:eastAsia="zh-CN"/>
        </w:rPr>
      </w:pPr>
    </w:p>
    <w:sectPr>
      <w:footerReference r:id="rId5" w:type="default"/>
      <w:pgSz w:w="11911" w:h="16838"/>
      <w:pgMar w:top="1502" w:right="1259" w:bottom="1179" w:left="1417" w:header="0" w:footer="992" w:gutter="0"/>
      <w:pgBorders>
        <w:top w:val="none" w:sz="0" w:space="0"/>
        <w:left w:val="none" w:sz="0" w:space="0"/>
        <w:bottom w:val="none" w:sz="0" w:space="0"/>
        <w:right w:val="none" w:sz="0" w:space="0"/>
      </w:pgBorders>
      <w:pgNumType w:start="1"/>
      <w:cols w:space="0" w:num="1"/>
      <w:rtlGutter w:val="0"/>
      <w:docGrid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ED287E9-C938-4C14-877A-CD30579418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C909F04D-A306-4314-91FD-4EC6033B9AED}"/>
  </w:font>
  <w:font w:name="楷体">
    <w:panose1 w:val="02010609060101010101"/>
    <w:charset w:val="86"/>
    <w:family w:val="modern"/>
    <w:pitch w:val="default"/>
    <w:sig w:usb0="800002BF" w:usb1="38CF7CFA" w:usb2="00000016" w:usb3="00000000" w:csb0="00040001" w:csb1="00000000"/>
    <w:embedRegular r:id="rId3" w:fontKey="{4ACE2B20-19A0-420C-8A5F-5DF11B842094}"/>
  </w:font>
  <w:font w:name="楷体_GB2312">
    <w:panose1 w:val="02010609030101010101"/>
    <w:charset w:val="86"/>
    <w:family w:val="auto"/>
    <w:pitch w:val="default"/>
    <w:sig w:usb0="00000001" w:usb1="080E0000" w:usb2="00000000" w:usb3="00000000" w:csb0="00040000" w:csb1="00000000"/>
    <w:embedRegular r:id="rId4" w:fontKey="{9361F6B9-3D7E-4415-9DD8-223EF6ACA521}"/>
  </w:font>
  <w:font w:name="微软雅黑">
    <w:panose1 w:val="020B0503020204020204"/>
    <w:charset w:val="86"/>
    <w:family w:val="auto"/>
    <w:pitch w:val="default"/>
    <w:sig w:usb0="80000287" w:usb1="2ACF3C50" w:usb2="00000016" w:usb3="00000000" w:csb0="0004001F" w:csb1="00000000"/>
    <w:embedRegular r:id="rId5" w:fontKey="{335C37E5-E6D2-470D-9A91-A6E70581F998}"/>
  </w:font>
  <w:font w:name="方正楷体_GB2312">
    <w:panose1 w:val="02000000000000000000"/>
    <w:charset w:val="86"/>
    <w:family w:val="auto"/>
    <w:pitch w:val="default"/>
    <w:sig w:usb0="A00002BF" w:usb1="184F6CFA" w:usb2="00000012" w:usb3="00000000" w:csb0="00040001" w:csb1="00000000"/>
    <w:embedRegular r:id="rId6" w:fontKey="{854CD763-CDB4-4F74-AC96-2317F32F439E}"/>
  </w:font>
  <w:font w:name="仿宋_GB2312">
    <w:panose1 w:val="02010609030101010101"/>
    <w:charset w:val="86"/>
    <w:family w:val="modern"/>
    <w:pitch w:val="default"/>
    <w:sig w:usb0="00000001" w:usb1="080E0000" w:usb2="00000000" w:usb3="00000000" w:csb0="00040000" w:csb1="00000000"/>
    <w:embedRegular r:id="rId7" w:fontKey="{F9718AB5-C922-40FD-BB2C-9D857873C0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858DA8"/>
    <w:multiLevelType w:val="singleLevel"/>
    <w:tmpl w:val="FC858DA8"/>
    <w:lvl w:ilvl="0" w:tentative="0">
      <w:start w:val="4"/>
      <w:numFmt w:val="decimal"/>
      <w:suff w:val="nothing"/>
      <w:lvlText w:val="%1、"/>
      <w:lvlJc w:val="left"/>
    </w:lvl>
  </w:abstractNum>
  <w:abstractNum w:abstractNumId="1">
    <w:nsid w:val="08CD5173"/>
    <w:multiLevelType w:val="singleLevel"/>
    <w:tmpl w:val="08CD5173"/>
    <w:lvl w:ilvl="0" w:tentative="0">
      <w:start w:val="1"/>
      <w:numFmt w:val="chineseCounting"/>
      <w:suff w:val="nothing"/>
      <w:lvlText w:val="%1、"/>
      <w:lvlJc w:val="left"/>
      <w:rPr>
        <w:rFonts w:hint="eastAsia"/>
      </w:rPr>
    </w:lvl>
  </w:abstractNum>
  <w:abstractNum w:abstractNumId="2">
    <w:nsid w:val="2AD8CBEC"/>
    <w:multiLevelType w:val="singleLevel"/>
    <w:tmpl w:val="2AD8CBEC"/>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2MmE2ZWVlN2RhZDc0NjA4Yzg1ZWZjM2U2NTM0Y2MifQ=="/>
  </w:docVars>
  <w:rsids>
    <w:rsidRoot w:val="00AD76B4"/>
    <w:rsid w:val="00125B3B"/>
    <w:rsid w:val="00162D2C"/>
    <w:rsid w:val="001D5BE5"/>
    <w:rsid w:val="002154CD"/>
    <w:rsid w:val="003B1B25"/>
    <w:rsid w:val="0046338D"/>
    <w:rsid w:val="006F2C93"/>
    <w:rsid w:val="007431F2"/>
    <w:rsid w:val="00797DA9"/>
    <w:rsid w:val="00A41D42"/>
    <w:rsid w:val="00AD76B4"/>
    <w:rsid w:val="00CE39C3"/>
    <w:rsid w:val="027540E6"/>
    <w:rsid w:val="02A15F5F"/>
    <w:rsid w:val="02F35C77"/>
    <w:rsid w:val="03956D48"/>
    <w:rsid w:val="03CC1337"/>
    <w:rsid w:val="06EC293B"/>
    <w:rsid w:val="07C62423"/>
    <w:rsid w:val="07E501FC"/>
    <w:rsid w:val="08D87FEA"/>
    <w:rsid w:val="098D3FE9"/>
    <w:rsid w:val="098E2387"/>
    <w:rsid w:val="0A7807EC"/>
    <w:rsid w:val="0C160487"/>
    <w:rsid w:val="0C1F4E62"/>
    <w:rsid w:val="0C336D77"/>
    <w:rsid w:val="0CC639DE"/>
    <w:rsid w:val="0CE93441"/>
    <w:rsid w:val="0D094F9F"/>
    <w:rsid w:val="0D5800E6"/>
    <w:rsid w:val="0F4772C4"/>
    <w:rsid w:val="0F836817"/>
    <w:rsid w:val="0FF767B9"/>
    <w:rsid w:val="1024523B"/>
    <w:rsid w:val="10396523"/>
    <w:rsid w:val="10751FA3"/>
    <w:rsid w:val="10C85BB0"/>
    <w:rsid w:val="10FE70D8"/>
    <w:rsid w:val="12060906"/>
    <w:rsid w:val="124B70BA"/>
    <w:rsid w:val="125E732F"/>
    <w:rsid w:val="14F552D1"/>
    <w:rsid w:val="15BF547B"/>
    <w:rsid w:val="170A21A5"/>
    <w:rsid w:val="178805D2"/>
    <w:rsid w:val="17904140"/>
    <w:rsid w:val="18415A0A"/>
    <w:rsid w:val="185B4E7E"/>
    <w:rsid w:val="18B61AB8"/>
    <w:rsid w:val="192B7C90"/>
    <w:rsid w:val="19B751FB"/>
    <w:rsid w:val="19F015E4"/>
    <w:rsid w:val="1A6B0B75"/>
    <w:rsid w:val="1A6F14E0"/>
    <w:rsid w:val="1BD26061"/>
    <w:rsid w:val="1C4C5489"/>
    <w:rsid w:val="1C532828"/>
    <w:rsid w:val="1CBE13C7"/>
    <w:rsid w:val="1D150DEC"/>
    <w:rsid w:val="1DF726A2"/>
    <w:rsid w:val="1E1D6FD2"/>
    <w:rsid w:val="1E835104"/>
    <w:rsid w:val="1EB5336A"/>
    <w:rsid w:val="1EF542C2"/>
    <w:rsid w:val="1F2E22D8"/>
    <w:rsid w:val="212A1E40"/>
    <w:rsid w:val="224C1B94"/>
    <w:rsid w:val="239129F3"/>
    <w:rsid w:val="23EB3E63"/>
    <w:rsid w:val="247C6B5C"/>
    <w:rsid w:val="24C063B3"/>
    <w:rsid w:val="25BC6113"/>
    <w:rsid w:val="26035135"/>
    <w:rsid w:val="26B31F0A"/>
    <w:rsid w:val="27B93ACD"/>
    <w:rsid w:val="298760C9"/>
    <w:rsid w:val="29FF2829"/>
    <w:rsid w:val="2A6D6F4E"/>
    <w:rsid w:val="2A7B6DF4"/>
    <w:rsid w:val="2A8F1DA3"/>
    <w:rsid w:val="2C0D39E0"/>
    <w:rsid w:val="2FC7197D"/>
    <w:rsid w:val="2FF56D06"/>
    <w:rsid w:val="30EF420F"/>
    <w:rsid w:val="316D3792"/>
    <w:rsid w:val="329C3CB2"/>
    <w:rsid w:val="32A84D0D"/>
    <w:rsid w:val="33933797"/>
    <w:rsid w:val="33DB2E25"/>
    <w:rsid w:val="34362476"/>
    <w:rsid w:val="34CC4FEF"/>
    <w:rsid w:val="354237EC"/>
    <w:rsid w:val="36EA02F6"/>
    <w:rsid w:val="371803AC"/>
    <w:rsid w:val="375206F7"/>
    <w:rsid w:val="37D242E1"/>
    <w:rsid w:val="384C05D9"/>
    <w:rsid w:val="38D31106"/>
    <w:rsid w:val="395A0A1C"/>
    <w:rsid w:val="3AEE7EEF"/>
    <w:rsid w:val="3B7C18CF"/>
    <w:rsid w:val="3BD40BE3"/>
    <w:rsid w:val="3BF15F48"/>
    <w:rsid w:val="3C633960"/>
    <w:rsid w:val="3CA35F79"/>
    <w:rsid w:val="3D1415AD"/>
    <w:rsid w:val="3E101296"/>
    <w:rsid w:val="3EA44DF0"/>
    <w:rsid w:val="3EC32950"/>
    <w:rsid w:val="3FF11FF4"/>
    <w:rsid w:val="40AE381E"/>
    <w:rsid w:val="412065EA"/>
    <w:rsid w:val="412169AB"/>
    <w:rsid w:val="421A1BD2"/>
    <w:rsid w:val="452001E4"/>
    <w:rsid w:val="46876526"/>
    <w:rsid w:val="469C28FF"/>
    <w:rsid w:val="4896054C"/>
    <w:rsid w:val="493F445C"/>
    <w:rsid w:val="4A063E7C"/>
    <w:rsid w:val="4B301BE4"/>
    <w:rsid w:val="4C1248F1"/>
    <w:rsid w:val="4C7E0947"/>
    <w:rsid w:val="4D9F33A9"/>
    <w:rsid w:val="4DBA644C"/>
    <w:rsid w:val="4ECB4475"/>
    <w:rsid w:val="4F386422"/>
    <w:rsid w:val="4F3F127F"/>
    <w:rsid w:val="4F846A83"/>
    <w:rsid w:val="500327B2"/>
    <w:rsid w:val="502F34BB"/>
    <w:rsid w:val="506002CD"/>
    <w:rsid w:val="51EA4BE0"/>
    <w:rsid w:val="5371311C"/>
    <w:rsid w:val="53DD56DE"/>
    <w:rsid w:val="543C7F2F"/>
    <w:rsid w:val="54EB4955"/>
    <w:rsid w:val="55EA220C"/>
    <w:rsid w:val="55F61348"/>
    <w:rsid w:val="5628777B"/>
    <w:rsid w:val="57F154D9"/>
    <w:rsid w:val="57FF5E82"/>
    <w:rsid w:val="58427EC3"/>
    <w:rsid w:val="59683D8C"/>
    <w:rsid w:val="59B70CE0"/>
    <w:rsid w:val="5AE658A7"/>
    <w:rsid w:val="5B434857"/>
    <w:rsid w:val="5BBB12A6"/>
    <w:rsid w:val="5CD3695D"/>
    <w:rsid w:val="5CD40E52"/>
    <w:rsid w:val="5DAE6E26"/>
    <w:rsid w:val="5DD95ACA"/>
    <w:rsid w:val="5DE961FA"/>
    <w:rsid w:val="5E191014"/>
    <w:rsid w:val="5F500E4D"/>
    <w:rsid w:val="60517EB0"/>
    <w:rsid w:val="615F2449"/>
    <w:rsid w:val="61A94D4D"/>
    <w:rsid w:val="62415BA1"/>
    <w:rsid w:val="63223847"/>
    <w:rsid w:val="65532A49"/>
    <w:rsid w:val="65AE34D9"/>
    <w:rsid w:val="65B06854"/>
    <w:rsid w:val="665916FA"/>
    <w:rsid w:val="6744501E"/>
    <w:rsid w:val="676340B5"/>
    <w:rsid w:val="67AB03DB"/>
    <w:rsid w:val="689E4A51"/>
    <w:rsid w:val="68CD04CA"/>
    <w:rsid w:val="6994340F"/>
    <w:rsid w:val="6A1C3555"/>
    <w:rsid w:val="6A755DC6"/>
    <w:rsid w:val="6AA7704E"/>
    <w:rsid w:val="6BCE7ADD"/>
    <w:rsid w:val="6C93506F"/>
    <w:rsid w:val="6E404171"/>
    <w:rsid w:val="6EDE0BBA"/>
    <w:rsid w:val="6F045092"/>
    <w:rsid w:val="6F246F9B"/>
    <w:rsid w:val="6F7B7D9B"/>
    <w:rsid w:val="716E0863"/>
    <w:rsid w:val="72035845"/>
    <w:rsid w:val="72345E2C"/>
    <w:rsid w:val="740A4B2E"/>
    <w:rsid w:val="745032CB"/>
    <w:rsid w:val="748F1CC1"/>
    <w:rsid w:val="754A762E"/>
    <w:rsid w:val="76413121"/>
    <w:rsid w:val="76CC2C05"/>
    <w:rsid w:val="76DA3257"/>
    <w:rsid w:val="77CE1AAE"/>
    <w:rsid w:val="78EA6E7D"/>
    <w:rsid w:val="7A57084D"/>
    <w:rsid w:val="7BD779A5"/>
    <w:rsid w:val="7C7029E6"/>
    <w:rsid w:val="7C70710D"/>
    <w:rsid w:val="7D760836"/>
    <w:rsid w:val="7DE765C5"/>
    <w:rsid w:val="7E135F35"/>
    <w:rsid w:val="7EE43525"/>
    <w:rsid w:val="7F484CFC"/>
    <w:rsid w:val="7F572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ind w:left="111"/>
    </w:pPr>
    <w:rPr>
      <w:rFonts w:ascii="仿宋" w:hAnsi="仿宋" w:eastAsia="仿宋" w:cs="仿宋"/>
      <w:sz w:val="32"/>
      <w:szCs w:val="32"/>
      <w:lang w:val="zh-CN" w:eastAsia="zh-CN" w:bidi="zh-CN"/>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character" w:customStyle="1" w:styleId="13">
    <w:name w:val="font11"/>
    <w:basedOn w:val="9"/>
    <w:qFormat/>
    <w:uiPriority w:val="0"/>
    <w:rPr>
      <w:rFonts w:hint="default" w:ascii="Times New Roman" w:hAnsi="Times New Roman" w:cs="Times New Roman"/>
      <w:color w:val="000000"/>
      <w:sz w:val="24"/>
      <w:szCs w:val="24"/>
      <w:u w:val="none"/>
    </w:rPr>
  </w:style>
  <w:style w:type="character" w:customStyle="1" w:styleId="14">
    <w:name w:val="font51"/>
    <w:basedOn w:val="9"/>
    <w:qFormat/>
    <w:uiPriority w:val="0"/>
    <w:rPr>
      <w:rFonts w:hint="eastAsia" w:ascii="宋体" w:hAnsi="宋体" w:eastAsia="宋体" w:cs="宋体"/>
      <w:color w:val="000000"/>
      <w:sz w:val="24"/>
      <w:szCs w:val="24"/>
      <w:u w:val="none"/>
    </w:rPr>
  </w:style>
  <w:style w:type="paragraph" w:customStyle="1" w:styleId="15">
    <w:name w:val="Body text|1"/>
    <w:basedOn w:val="1"/>
    <w:qFormat/>
    <w:uiPriority w:val="0"/>
    <w:pPr>
      <w:widowControl w:val="0"/>
      <w:shd w:val="clear" w:color="auto" w:fill="auto"/>
      <w:spacing w:line="343" w:lineRule="auto"/>
      <w:ind w:firstLine="400"/>
    </w:pPr>
    <w:rPr>
      <w:rFonts w:ascii="宋体" w:hAnsi="宋体" w:eastAsia="宋体" w:cs="宋体"/>
      <w:sz w:val="20"/>
      <w:szCs w:val="20"/>
      <w:u w:val="none"/>
      <w:shd w:val="clear" w:color="auto" w:fill="auto"/>
      <w:lang w:val="zh-TW" w:eastAsia="zh-TW" w:bidi="zh-TW"/>
    </w:rPr>
  </w:style>
  <w:style w:type="character" w:customStyle="1" w:styleId="16">
    <w:name w:val="font01"/>
    <w:basedOn w:val="9"/>
    <w:qFormat/>
    <w:uiPriority w:val="0"/>
    <w:rPr>
      <w:rFonts w:hint="eastAsia" w:ascii="仿宋" w:hAnsi="仿宋" w:eastAsia="仿宋" w:cs="仿宋"/>
      <w:color w:val="000000"/>
      <w:sz w:val="21"/>
      <w:szCs w:val="21"/>
      <w:u w:val="none"/>
    </w:rPr>
  </w:style>
  <w:style w:type="paragraph" w:styleId="17">
    <w:name w:val="List Paragraph"/>
    <w:basedOn w:val="1"/>
    <w:qFormat/>
    <w:uiPriority w:val="1"/>
    <w:pPr>
      <w:ind w:left="111" w:right="269" w:firstLine="640"/>
      <w:jc w:val="both"/>
    </w:pPr>
    <w:rPr>
      <w:rFonts w:ascii="仿宋" w:hAnsi="仿宋" w:eastAsia="仿宋" w:cs="仿宋"/>
      <w:lang w:val="zh-CN" w:eastAsia="zh-CN" w:bidi="zh-CN"/>
    </w:rPr>
  </w:style>
  <w:style w:type="character" w:customStyle="1" w:styleId="18">
    <w:name w:val="font81"/>
    <w:basedOn w:val="9"/>
    <w:uiPriority w:val="0"/>
    <w:rPr>
      <w:rFonts w:hint="eastAsia" w:ascii="仿宋" w:hAnsi="仿宋" w:eastAsia="仿宋" w:cs="仿宋"/>
      <w:color w:val="000000"/>
      <w:sz w:val="15"/>
      <w:szCs w:val="15"/>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K:\&#26417;&#25991;&#29233;\&#22253;&#26519;&#33609;&#22522;&#20934;&#22320;&#20215;&#26381;&#21153;&#25104;&#26412;&#35838;&#39064;&#35843;&#30740;\&#35843;&#30740;&#20869;&#23481;\&#22253;&#26519;&#33609;&#22522;&#20934;&#22320;&#20215;&#25910;&#36153;&#32479;&#357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080" b="0" i="0" u="none" strike="noStrike" kern="1200" spc="0" baseline="0">
                <a:solidFill>
                  <a:schemeClr val="tx1"/>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r>
              <a:rPr lang="en-US" altLang="zh-CN" sz="1050" b="1">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rPr>
              <a:t>    </a:t>
            </a:r>
            <a:r>
              <a:rPr sz="1050" b="1">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rPr>
              <a:t>江西省县级行政区面积占比图</a:t>
            </a:r>
            <a:r>
              <a:rPr lang="en-US" altLang="zh-CN" sz="1080" b="1">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rPr>
              <a:t>      </a:t>
            </a:r>
            <a:r>
              <a:rPr altLang="en-US" sz="900">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rPr>
              <a:t>图</a:t>
            </a:r>
            <a:r>
              <a:rPr lang="en-US" altLang="zh-CN" sz="900">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rPr>
              <a:t>1</a:t>
            </a:r>
            <a:endParaRPr lang="en-US" altLang="zh-CN" sz="900">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endParaRPr>
          </a:p>
        </c:rich>
      </c:tx>
      <c:layout/>
      <c:overlay val="0"/>
      <c:spPr>
        <a:noFill/>
        <a:ln>
          <a:noFill/>
        </a:ln>
        <a:effectLst/>
      </c:spPr>
    </c:title>
    <c:autoTitleDeleted val="0"/>
    <c:plotArea>
      <c:layout/>
      <c:pieChart>
        <c:varyColors val="1"/>
        <c:ser>
          <c:idx val="0"/>
          <c:order val="0"/>
          <c:spPr>
            <a:effectLst>
              <a:outerShdw blurRad="63500" sx="102000" sy="102000" algn="ctr" rotWithShape="0">
                <a:prstClr val="black">
                  <a:alpha val="40000"/>
                </a:prstClr>
              </a:outerShdw>
            </a:effectLst>
          </c:spPr>
          <c:explosion val="0"/>
          <c:dPt>
            <c:idx val="0"/>
            <c:bubble3D val="0"/>
            <c:spPr>
              <a:solidFill>
                <a:schemeClr val="accent1"/>
              </a:solidFill>
              <a:ln w="19050">
                <a:solidFill>
                  <a:schemeClr val="lt1"/>
                </a:solidFill>
              </a:ln>
              <a:effectLst>
                <a:outerShdw blurRad="63500" algn="ctr" rotWithShape="0">
                  <a:schemeClr val="accent1">
                    <a:lumMod val="75000"/>
                    <a:alpha val="100000"/>
                  </a:schemeClr>
                </a:outerShdw>
              </a:effectLst>
            </c:spPr>
          </c:dPt>
          <c:dPt>
            <c:idx val="1"/>
            <c:bubble3D val="0"/>
            <c:explosion val="10"/>
            <c:spPr>
              <a:solidFill>
                <a:schemeClr val="accent2"/>
              </a:solidFill>
              <a:ln w="19050">
                <a:solidFill>
                  <a:schemeClr val="lt1"/>
                </a:solidFill>
              </a:ln>
              <a:effectLst>
                <a:outerShdw blurRad="63500" algn="ctr" rotWithShape="0">
                  <a:schemeClr val="accent2">
                    <a:lumMod val="75000"/>
                    <a:alpha val="100000"/>
                  </a:schemeClr>
                </a:outerShdw>
              </a:effectLst>
            </c:spPr>
          </c:dPt>
          <c:dPt>
            <c:idx val="2"/>
            <c:bubble3D val="0"/>
            <c:spPr>
              <a:solidFill>
                <a:schemeClr val="accent3"/>
              </a:solidFill>
              <a:ln w="19050">
                <a:solidFill>
                  <a:schemeClr val="lt1"/>
                </a:solidFill>
              </a:ln>
              <a:effectLst>
                <a:outerShdw blurRad="63500" algn="ctr" rotWithShape="0">
                  <a:schemeClr val="accent3">
                    <a:lumMod val="75000"/>
                    <a:alpha val="100000"/>
                  </a:schemeClr>
                </a:outerShdw>
              </a:effectLst>
            </c:spPr>
          </c:dPt>
          <c:dPt>
            <c:idx val="3"/>
            <c:bubble3D val="0"/>
            <c:spPr>
              <a:solidFill>
                <a:schemeClr val="accent4"/>
              </a:solidFill>
              <a:ln w="19050">
                <a:solidFill>
                  <a:schemeClr val="lt1"/>
                </a:solidFill>
              </a:ln>
              <a:effectLst>
                <a:outerShdw blurRad="63500" algn="ctr" rotWithShape="0">
                  <a:schemeClr val="accent4">
                    <a:lumMod val="75000"/>
                    <a:alpha val="100000"/>
                  </a:schemeClr>
                </a:outerShdw>
              </a:effectLst>
            </c:spPr>
          </c:dPt>
          <c:dLbls>
            <c:dLbl>
              <c:idx val="0"/>
              <c:layout/>
              <c:numFmt formatCode="General" sourceLinked="1"/>
              <c:spPr>
                <a:solidFill>
                  <a:srgbClr val="FFFFFF"/>
                </a:solidFill>
                <a:ln w="12700">
                  <a:solidFill>
                    <a:schemeClr val="accent1"/>
                  </a:solidFill>
                </a:ln>
                <a:effectLst/>
              </c:spPr>
              <c:txPr>
                <a:bodyPr rot="0" spcFirstLastPara="0" vertOverflow="clip" horzOverflow="clip" vert="horz" wrap="square" lIns="36576" tIns="18288" rIns="36576" bIns="18288" anchor="ctr" anchorCtr="1" forceAA="0">
                  <a:spAutoFit/>
                </a:bodyPr>
                <a:lstStyle/>
                <a:p>
                  <a:pPr>
                    <a:defRPr lang="zh-CN" sz="900" b="1" i="0" u="none" strike="noStrike" kern="1200" baseline="0">
                      <a:solidFill>
                        <a:schemeClr val="accent1"/>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dLblPos val="outEnd"/>
              <c:showLegendKey val="0"/>
              <c:showVal val="0"/>
              <c:showCatName val="0"/>
              <c:showSerName val="0"/>
              <c:showPercent val="1"/>
              <c:showBubbleSize val="0"/>
              <c:extLst>
                <c:ext xmlns:c15="http://schemas.microsoft.com/office/drawing/2012/chart" uri="{CE6537A1-D6FC-4f65-9D91-7224C49458BB}"/>
              </c:extLst>
            </c:dLbl>
            <c:dLbl>
              <c:idx val="1"/>
              <c:layout/>
              <c:numFmt formatCode="General" sourceLinked="1"/>
              <c:spPr>
                <a:solidFill>
                  <a:srgbClr val="FFFFFF"/>
                </a:solidFill>
                <a:ln w="12700">
                  <a:solidFill>
                    <a:schemeClr val="accent2"/>
                  </a:solidFill>
                </a:ln>
                <a:effectLst/>
              </c:spPr>
              <c:txPr>
                <a:bodyPr rot="0" spcFirstLastPara="0" vertOverflow="clip" horzOverflow="clip" vert="horz" wrap="square" lIns="36576" tIns="18288" rIns="36576" bIns="18288" anchor="ctr" anchorCtr="1" forceAA="0">
                  <a:spAutoFit/>
                </a:bodyPr>
                <a:lstStyle/>
                <a:p>
                  <a:pPr>
                    <a:defRPr lang="zh-CN" sz="900" b="1" i="0" u="none" strike="noStrike" kern="1200" baseline="0">
                      <a:solidFill>
                        <a:schemeClr val="accent2"/>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dLblPos val="outEnd"/>
              <c:showLegendKey val="0"/>
              <c:showVal val="0"/>
              <c:showCatName val="0"/>
              <c:showSerName val="0"/>
              <c:showPercent val="1"/>
              <c:showBubbleSize val="0"/>
              <c:extLst>
                <c:ext xmlns:c15="http://schemas.microsoft.com/office/drawing/2012/chart" uri="{CE6537A1-D6FC-4f65-9D91-7224C49458BB}"/>
              </c:extLst>
            </c:dLbl>
            <c:dLbl>
              <c:idx val="2"/>
              <c:layout/>
              <c:numFmt formatCode="General" sourceLinked="1"/>
              <c:spPr>
                <a:solidFill>
                  <a:srgbClr val="FFFFFF"/>
                </a:solidFill>
                <a:ln w="12700">
                  <a:solidFill>
                    <a:schemeClr val="accent3"/>
                  </a:solidFill>
                </a:ln>
                <a:effectLst/>
              </c:spPr>
              <c:txPr>
                <a:bodyPr rot="0" spcFirstLastPara="0" vertOverflow="clip" horzOverflow="clip" vert="horz" wrap="square" lIns="36576" tIns="18288" rIns="36576" bIns="18288" anchor="ctr" anchorCtr="1" forceAA="0">
                  <a:spAutoFit/>
                </a:bodyPr>
                <a:lstStyle/>
                <a:p>
                  <a:pPr>
                    <a:defRPr lang="zh-CN" sz="900" b="1" i="0" u="none" strike="noStrike" kern="1200" baseline="0">
                      <a:solidFill>
                        <a:schemeClr val="accent3"/>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dLblPos val="outEnd"/>
              <c:showLegendKey val="0"/>
              <c:showVal val="0"/>
              <c:showCatName val="0"/>
              <c:showSerName val="0"/>
              <c:showPercent val="1"/>
              <c:showBubbleSize val="0"/>
              <c:extLst>
                <c:ext xmlns:c15="http://schemas.microsoft.com/office/drawing/2012/chart" uri="{CE6537A1-D6FC-4f65-9D91-7224C49458BB}"/>
              </c:extLst>
            </c:dLbl>
            <c:dLbl>
              <c:idx val="3"/>
              <c:layout/>
              <c:numFmt formatCode="General" sourceLinked="1"/>
              <c:spPr>
                <a:solidFill>
                  <a:srgbClr val="FFFFFF"/>
                </a:solidFill>
                <a:ln w="12700">
                  <a:solidFill>
                    <a:schemeClr val="accent4"/>
                  </a:solidFill>
                </a:ln>
                <a:effectLst/>
              </c:spPr>
              <c:txPr>
                <a:bodyPr rot="0" spcFirstLastPara="0" vertOverflow="clip" horzOverflow="clip" vert="horz" wrap="square" lIns="36576" tIns="18288" rIns="36576" bIns="18288" anchor="ctr" anchorCtr="1" forceAA="0">
                  <a:spAutoFit/>
                </a:bodyPr>
                <a:lstStyle/>
                <a:p>
                  <a:pPr>
                    <a:defRPr lang="zh-CN" sz="900" b="1" i="0" u="none" strike="noStrike" kern="1200" baseline="0">
                      <a:solidFill>
                        <a:schemeClr val="accent4"/>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dLblPos val="outEnd"/>
              <c:showLegendKey val="0"/>
              <c:showVal val="0"/>
              <c:showCatName val="0"/>
              <c:showSerName val="0"/>
              <c:showPercent val="1"/>
              <c:showBubbleSize val="0"/>
              <c:extLst>
                <c:ext xmlns:c15="http://schemas.microsoft.com/office/drawing/2012/chart" uri="{CE6537A1-D6FC-4f65-9D91-7224C49458BB}"/>
              </c:extLst>
            </c:dLbl>
            <c:numFmt formatCode="General" sourceLinked="1"/>
            <c:spPr>
              <a:solidFill>
                <a:srgbClr val="FFFFFF"/>
              </a:solidFill>
              <a:ln w="12700">
                <a:solidFill>
                  <a:srgbClr val="000000">
                    <a:lumMod val="25000"/>
                    <a:lumOff val="75000"/>
                  </a:srgbClr>
                </a:solidFill>
              </a:ln>
              <a:effectLst/>
            </c:spPr>
            <c:txPr>
              <a:bodyPr rot="0" spcFirstLastPara="0" vertOverflow="clip" horzOverflow="clip" vert="horz" wrap="square" lIns="36576" tIns="18288" rIns="36576" bIns="18288" anchor="ctr" anchorCtr="1" forceAA="0">
                <a:spAutoFit/>
              </a:bodyPr>
              <a:lstStyle/>
              <a:p>
                <a:pPr>
                  <a:defRPr lang="zh-CN" sz="900" b="1" i="0" u="none" strike="noStrike" kern="1200" baseline="0">
                    <a:solidFill>
                      <a:schemeClr val="dk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dLblPos val="outEnd"/>
            <c:showLegendKey val="0"/>
            <c:showVal val="0"/>
            <c:showCatName val="0"/>
            <c:showSerName val="0"/>
            <c:showPercent val="1"/>
            <c:showBubbleSize val="0"/>
            <c:showLeaderLines val="0"/>
            <c:extLst>
              <c:ext xmlns:c15="http://schemas.microsoft.com/office/drawing/2012/chart" uri="{CE6537A1-D6FC-4f65-9D91-7224C49458BB}">
                <c15:spPr xmlns:c15="http://schemas.microsoft.com/office/drawing/2012/chart">
                  <a:prstGeom prst="roundRect">
                    <a:avLst/>
                  </a:prstGeom>
                  <a:noFill/>
                  <a:ln>
                    <a:noFill/>
                  </a:ln>
                </c15:spPr>
                <c15:layout/>
                <c15:showLeaderLines val="0"/>
                <c15:leaderLines>
                  <c:spPr>
                    <a:ln w="9525" cap="flat" cmpd="sng" algn="ctr">
                      <a:solidFill>
                        <a:schemeClr val="tx1">
                          <a:lumMod val="35000"/>
                          <a:lumOff val="65000"/>
                        </a:schemeClr>
                      </a:solidFill>
                      <a:round/>
                    </a:ln>
                    <a:effectLst/>
                  </c:spPr>
                </c15:leaderLines>
              </c:ext>
            </c:extLst>
          </c:dLbls>
          <c:cat>
            <c:strRef>
              <c:f>[园林草基准地价收费统计表.xls]Sheet7!$B$3:$B$6</c:f>
              <c:strCache>
                <c:ptCount val="4"/>
                <c:pt idx="0">
                  <c:v>＜1000</c:v>
                </c:pt>
                <c:pt idx="1">
                  <c:v>1000≤S＜2000</c:v>
                </c:pt>
                <c:pt idx="2">
                  <c:v>2000≤S＜3000</c:v>
                </c:pt>
                <c:pt idx="3">
                  <c:v>≥3000</c:v>
                </c:pt>
              </c:strCache>
            </c:strRef>
          </c:cat>
          <c:val>
            <c:numRef>
              <c:f>[园林草基准地价收费统计表.xls]Sheet7!$C$3:$C$6</c:f>
              <c:numCache>
                <c:formatCode>General</c:formatCode>
                <c:ptCount val="4"/>
                <c:pt idx="0">
                  <c:v>26</c:v>
                </c:pt>
                <c:pt idx="1">
                  <c:v>38</c:v>
                </c:pt>
                <c:pt idx="2">
                  <c:v>30</c:v>
                </c:pt>
                <c:pt idx="3">
                  <c:v>6</c:v>
                </c:pt>
              </c:numCache>
            </c:numRef>
          </c:val>
        </c:ser>
        <c:ser>
          <c:idx val="1"/>
          <c:order val="1"/>
          <c:spPr>
            <a:effectLst>
              <a:outerShdw blurRad="63500" sx="102000" sy="102000" algn="ctr" rotWithShape="0">
                <a:prstClr val="black">
                  <a:alpha val="40000"/>
                </a:prstClr>
              </a:outerShdw>
            </a:effectLst>
          </c:spPr>
          <c:explosion val="0"/>
          <c:dPt>
            <c:idx val="0"/>
            <c:bubble3D val="0"/>
            <c:spPr>
              <a:solidFill>
                <a:schemeClr val="accent1"/>
              </a:solidFill>
              <a:ln w="19050">
                <a:solidFill>
                  <a:schemeClr val="lt1"/>
                </a:solidFill>
              </a:ln>
              <a:effectLst>
                <a:outerShdw blurRad="63500" algn="ctr" rotWithShape="0">
                  <a:schemeClr val="accent1">
                    <a:lumMod val="75000"/>
                    <a:alpha val="100000"/>
                  </a:schemeClr>
                </a:outerShdw>
              </a:effectLst>
            </c:spPr>
          </c:dPt>
          <c:dPt>
            <c:idx val="1"/>
            <c:bubble3D val="0"/>
            <c:explosion val="10"/>
            <c:spPr>
              <a:solidFill>
                <a:schemeClr val="accent2"/>
              </a:solidFill>
              <a:ln w="19050">
                <a:solidFill>
                  <a:schemeClr val="lt1"/>
                </a:solidFill>
              </a:ln>
              <a:effectLst>
                <a:outerShdw blurRad="63500" algn="ctr" rotWithShape="0">
                  <a:schemeClr val="accent2">
                    <a:lumMod val="75000"/>
                    <a:alpha val="100000"/>
                  </a:schemeClr>
                </a:outerShdw>
              </a:effectLst>
            </c:spPr>
          </c:dPt>
          <c:dPt>
            <c:idx val="2"/>
            <c:bubble3D val="0"/>
            <c:spPr>
              <a:solidFill>
                <a:schemeClr val="accent3"/>
              </a:solidFill>
              <a:ln w="19050">
                <a:solidFill>
                  <a:schemeClr val="lt1"/>
                </a:solidFill>
              </a:ln>
              <a:effectLst>
                <a:outerShdw blurRad="63500" algn="ctr" rotWithShape="0">
                  <a:schemeClr val="accent3">
                    <a:lumMod val="75000"/>
                    <a:alpha val="100000"/>
                  </a:schemeClr>
                </a:outerShdw>
              </a:effectLst>
            </c:spPr>
          </c:dPt>
          <c:dPt>
            <c:idx val="3"/>
            <c:bubble3D val="0"/>
            <c:spPr>
              <a:solidFill>
                <a:schemeClr val="accent4"/>
              </a:solidFill>
              <a:ln w="19050">
                <a:solidFill>
                  <a:schemeClr val="lt1"/>
                </a:solidFill>
              </a:ln>
              <a:effectLst>
                <a:outerShdw blurRad="63500" algn="ctr" rotWithShape="0">
                  <a:schemeClr val="accent4">
                    <a:lumMod val="75000"/>
                    <a:alpha val="100000"/>
                  </a:schemeClr>
                </a:outerShdw>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dLblPos val="outEnd"/>
            <c:showLegendKey val="0"/>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[园林草基准地价收费统计表.xls]Sheet7!$B$3:$B$6</c:f>
              <c:strCache>
                <c:ptCount val="4"/>
                <c:pt idx="0">
                  <c:v>＜1000</c:v>
                </c:pt>
                <c:pt idx="1">
                  <c:v>1000≤S＜2000</c:v>
                </c:pt>
                <c:pt idx="2">
                  <c:v>2000≤S＜3000</c:v>
                </c:pt>
                <c:pt idx="3">
                  <c:v>≥3000</c:v>
                </c:pt>
              </c:strCache>
            </c:strRef>
          </c:cat>
          <c:val>
            <c:numRef>
              <c:f>[园林草基准地价收费统计表.xls]Sheet7!$D$3:$D$6</c:f>
              <c:numCache>
                <c:formatCode>0.00%</c:formatCode>
                <c:ptCount val="4"/>
                <c:pt idx="0">
                  <c:v>0.26</c:v>
                </c:pt>
                <c:pt idx="1">
                  <c:v>0.38</c:v>
                </c:pt>
                <c:pt idx="2">
                  <c:v>0.3</c:v>
                </c:pt>
                <c:pt idx="3">
                  <c:v>0.06</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legendEntry>
      <c:legendEntry>
        <c:idx val="3"/>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a:outerShdw blurRad="63500" dist="37357" dir="2700000" sx="0" sy="0" rotWithShape="0">
        <a:scrgbClr r="0" g="0" b="0"/>
      </a:outerShdw>
    </a:effectLst>
  </c:spPr>
  <c:txPr>
    <a:bodyPr/>
    <a:lstStyle/>
    <a:p>
      <a:pPr>
        <a:defRPr lang="zh-CN" sz="900">
          <a:latin typeface="仿宋" panose="02010609060101010101" pitchFamily="3" charset="-122"/>
          <a:ea typeface="仿宋" panose="02010609060101010101" pitchFamily="3" charset="-122"/>
          <a:cs typeface="仿宋" panose="02010609060101010101" pitchFamily="3" charset="-122"/>
          <a:sym typeface="仿宋" panose="02010609060101010101" pitchFamily="3"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11】">
    <a:dk1>
      <a:srgbClr val="000000"/>
    </a:dk1>
    <a:lt1>
      <a:srgbClr val="FFFFFF"/>
    </a:lt1>
    <a:dk2>
      <a:srgbClr val="0C0E1F"/>
    </a:dk2>
    <a:lt2>
      <a:srgbClr val="FEFFFF"/>
    </a:lt2>
    <a:accent1>
      <a:srgbClr val="FE961C"/>
    </a:accent1>
    <a:accent2>
      <a:srgbClr val="E15441"/>
    </a:accent2>
    <a:accent3>
      <a:srgbClr val="77D1E8"/>
    </a:accent3>
    <a:accent4>
      <a:srgbClr val="3CB8EC"/>
    </a:accent4>
    <a:accent5>
      <a:srgbClr val="17A6E9"/>
    </a:accent5>
    <a:accent6>
      <a:srgbClr val="FFC619"/>
    </a:accent6>
    <a:hlink>
      <a:srgbClr val="304FFE"/>
    </a:hlink>
    <a:folHlink>
      <a:srgbClr val="492067"/>
    </a:folHlink>
  </a:clrScheme>
  <a:fontScheme name="自定义 2">
    <a:majorFont>
      <a:latin typeface="微软雅黑"/>
      <a:ea typeface="微软雅黑"/>
      <a:cs typeface=""/>
    </a:majorFont>
    <a:minorFont>
      <a:latin typeface="微软雅黑"/>
      <a:ea typeface="微软雅黑"/>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7162</Words>
  <Characters>7589</Characters>
  <Lines>13</Lines>
  <Paragraphs>3</Paragraphs>
  <TotalTime>33</TotalTime>
  <ScaleCrop>false</ScaleCrop>
  <LinksUpToDate>false</LinksUpToDate>
  <CharactersWithSpaces>7595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2020-09-21T02:32:00Z</dcterms:created>
  <dc:creator>jxpgxh@tom.com</dc:creator>
  <cp:lastModifiedBy>ca</cp:lastModifiedBy>
  <cp:lastPrinted>2023-10-20T10:44:00Z</cp:lastPrinted>
  <dcterms:modified xsi:type="dcterms:W3CDTF">2023-10-23T04:13:10Z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9A018AFDA92C4A06A04D325142D1C1B6_13</vt:lpwstr>
  </property>
</Properties>
</file>