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F3CB5">
      <w:pPr>
        <w:bidi w:val="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附件2</w:t>
      </w:r>
    </w:p>
    <w:p w14:paraId="2990CAED">
      <w:pPr>
        <w:widowControl/>
        <w:autoSpaceDE/>
        <w:autoSpaceDN/>
        <w:rPr>
          <w:b/>
          <w:color w:val="000000"/>
          <w:sz w:val="28"/>
          <w:szCs w:val="28"/>
        </w:rPr>
      </w:pPr>
    </w:p>
    <w:p w14:paraId="194A273D">
      <w:pPr>
        <w:widowControl/>
        <w:autoSpaceDE/>
        <w:autoSpaceDN/>
        <w:jc w:val="center"/>
        <w:rPr>
          <w:b/>
          <w:color w:val="000000"/>
          <w:sz w:val="36"/>
          <w:szCs w:val="36"/>
        </w:rPr>
      </w:pPr>
      <w:r>
        <w:rPr>
          <w:rFonts w:hint="eastAsia" w:ascii="宋体" w:hAnsi="宋体" w:eastAsia="宋体"/>
          <w:b/>
          <w:color w:val="000000"/>
          <w:sz w:val="28"/>
          <w:szCs w:val="24"/>
          <w:shd w:val="clear" w:color="auto" w:fill="FFFFFF"/>
        </w:rPr>
        <w:t>参赛作品评分标准</w:t>
      </w:r>
    </w:p>
    <w:tbl>
      <w:tblPr>
        <w:tblStyle w:val="2"/>
        <w:tblpPr w:leftFromText="180" w:rightFromText="180" w:vertAnchor="text" w:horzAnchor="page" w:tblpX="1751" w:tblpY="398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4501"/>
        <w:gridCol w:w="1352"/>
        <w:gridCol w:w="1483"/>
      </w:tblGrid>
      <w:tr w14:paraId="0BB14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pct"/>
            <w:noWrap w:val="0"/>
            <w:vAlign w:val="center"/>
          </w:tcPr>
          <w:p w14:paraId="65DDB9FC">
            <w:pPr>
              <w:spacing w:line="288" w:lineRule="auto"/>
              <w:jc w:val="center"/>
              <w:rPr>
                <w:rFonts w:ascii="黑体" w:hAnsi="黑体" w:eastAsia="黑体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41" w:type="pct"/>
            <w:noWrap w:val="0"/>
            <w:vAlign w:val="center"/>
          </w:tcPr>
          <w:p w14:paraId="1651998C">
            <w:pPr>
              <w:spacing w:line="288" w:lineRule="auto"/>
              <w:jc w:val="center"/>
              <w:rPr>
                <w:rFonts w:ascii="仿宋" w:hAnsi="仿宋" w:eastAsia="仿宋"/>
                <w:b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/>
                <w:b/>
                <w:szCs w:val="24"/>
                <w:shd w:val="clear" w:color="auto" w:fill="FFFFFF"/>
              </w:rPr>
              <w:t>评分依据</w:t>
            </w:r>
          </w:p>
        </w:tc>
        <w:tc>
          <w:tcPr>
            <w:tcW w:w="793" w:type="pct"/>
            <w:noWrap w:val="0"/>
            <w:vAlign w:val="center"/>
          </w:tcPr>
          <w:p w14:paraId="243B5446">
            <w:pPr>
              <w:spacing w:line="288" w:lineRule="auto"/>
              <w:jc w:val="center"/>
              <w:rPr>
                <w:rFonts w:ascii="仿宋" w:hAnsi="仿宋" w:eastAsia="仿宋"/>
                <w:b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/>
                <w:b/>
                <w:szCs w:val="24"/>
                <w:shd w:val="clear" w:color="auto" w:fill="FFFFFF"/>
              </w:rPr>
              <w:t>标准分</w:t>
            </w:r>
          </w:p>
        </w:tc>
        <w:tc>
          <w:tcPr>
            <w:tcW w:w="870" w:type="pct"/>
            <w:noWrap w:val="0"/>
            <w:vAlign w:val="top"/>
          </w:tcPr>
          <w:p w14:paraId="69F82958">
            <w:pPr>
              <w:spacing w:line="288" w:lineRule="auto"/>
              <w:jc w:val="center"/>
              <w:rPr>
                <w:rFonts w:ascii="仿宋" w:hAnsi="仿宋" w:eastAsia="仿宋"/>
                <w:b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/>
                <w:b/>
                <w:szCs w:val="24"/>
                <w:shd w:val="clear" w:color="auto" w:fill="FFFFFF"/>
              </w:rPr>
              <w:t>合计</w:t>
            </w:r>
          </w:p>
        </w:tc>
      </w:tr>
      <w:tr w14:paraId="516BA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pct"/>
            <w:noWrap w:val="0"/>
            <w:vAlign w:val="center"/>
          </w:tcPr>
          <w:p w14:paraId="4BFD0392">
            <w:pPr>
              <w:spacing w:line="288" w:lineRule="auto"/>
              <w:jc w:val="center"/>
              <w:rPr>
                <w:rFonts w:ascii="仿宋" w:hAnsi="仿宋" w:eastAsia="仿宋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shd w:val="clear" w:color="auto" w:fill="FFFFFF"/>
              </w:rPr>
              <w:t>创新性</w:t>
            </w:r>
          </w:p>
        </w:tc>
        <w:tc>
          <w:tcPr>
            <w:tcW w:w="2641" w:type="pct"/>
            <w:noWrap w:val="0"/>
            <w:vAlign w:val="center"/>
          </w:tcPr>
          <w:p w14:paraId="066F130E">
            <w:pPr>
              <w:jc w:val="both"/>
              <w:rPr>
                <w:rFonts w:ascii="仿宋" w:hAnsi="仿宋" w:eastAsia="仿宋"/>
                <w:bCs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/>
                <w:bCs/>
                <w:szCs w:val="24"/>
                <w:shd w:val="clear" w:color="auto" w:fill="FFFFFF"/>
              </w:rPr>
              <w:t>贴近大赛主题，所选项目有特色，</w:t>
            </w:r>
          </w:p>
          <w:p w14:paraId="18FE5191">
            <w:pPr>
              <w:jc w:val="both"/>
              <w:rPr>
                <w:rFonts w:ascii="仿宋" w:hAnsi="仿宋" w:eastAsia="仿宋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/>
                <w:bCs/>
                <w:szCs w:val="24"/>
                <w:shd w:val="clear" w:color="auto" w:fill="FFFFFF"/>
              </w:rPr>
              <w:t>评估过程、理论、思路、方法等有创新</w:t>
            </w:r>
          </w:p>
        </w:tc>
        <w:tc>
          <w:tcPr>
            <w:tcW w:w="793" w:type="pct"/>
            <w:noWrap w:val="0"/>
            <w:vAlign w:val="center"/>
          </w:tcPr>
          <w:p w14:paraId="646F928A">
            <w:pPr>
              <w:spacing w:line="288" w:lineRule="auto"/>
              <w:jc w:val="center"/>
              <w:rPr>
                <w:rFonts w:ascii="仿宋" w:hAnsi="仿宋" w:eastAsia="仿宋"/>
                <w:bCs/>
                <w:shd w:val="clear" w:color="auto" w:fill="FFFFFF"/>
              </w:rPr>
            </w:pPr>
            <w:r>
              <w:rPr>
                <w:rFonts w:ascii="仿宋" w:hAnsi="仿宋" w:eastAsia="仿宋"/>
                <w:bCs/>
                <w:shd w:val="clear" w:color="auto" w:fill="FFFFFF"/>
              </w:rPr>
              <w:t>4</w:t>
            </w:r>
            <w:r>
              <w:rPr>
                <w:rFonts w:hint="eastAsia" w:ascii="仿宋" w:hAnsi="仿宋" w:eastAsia="仿宋"/>
                <w:bCs/>
                <w:shd w:val="clear" w:color="auto" w:fill="FFFFFF"/>
              </w:rPr>
              <w:t>0</w:t>
            </w:r>
          </w:p>
        </w:tc>
        <w:tc>
          <w:tcPr>
            <w:tcW w:w="870" w:type="pct"/>
            <w:noWrap w:val="0"/>
            <w:vAlign w:val="center"/>
          </w:tcPr>
          <w:p w14:paraId="3A95C5B4">
            <w:pPr>
              <w:spacing w:line="288" w:lineRule="auto"/>
              <w:jc w:val="center"/>
              <w:rPr>
                <w:rFonts w:ascii="仿宋" w:hAnsi="仿宋" w:eastAsia="仿宋"/>
                <w:bCs/>
                <w:shd w:val="clear" w:color="auto" w:fill="FFFFFF"/>
              </w:rPr>
            </w:pPr>
            <w:r>
              <w:rPr>
                <w:rFonts w:ascii="仿宋" w:hAnsi="仿宋" w:eastAsia="仿宋"/>
                <w:bCs/>
                <w:shd w:val="clear" w:color="auto" w:fill="FFFFFF"/>
              </w:rPr>
              <w:t>4</w:t>
            </w:r>
            <w:r>
              <w:rPr>
                <w:rFonts w:hint="eastAsia" w:ascii="仿宋" w:hAnsi="仿宋" w:eastAsia="仿宋"/>
                <w:bCs/>
                <w:shd w:val="clear" w:color="auto" w:fill="FFFFFF"/>
              </w:rPr>
              <w:t>0</w:t>
            </w:r>
          </w:p>
        </w:tc>
      </w:tr>
      <w:tr w14:paraId="37DA6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pct"/>
            <w:vMerge w:val="restart"/>
            <w:noWrap w:val="0"/>
            <w:vAlign w:val="center"/>
          </w:tcPr>
          <w:p w14:paraId="6B393538">
            <w:pPr>
              <w:spacing w:line="288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shd w:val="clear" w:color="auto" w:fill="FFFFFF"/>
              </w:rPr>
              <w:t>科学性</w:t>
            </w:r>
          </w:p>
        </w:tc>
        <w:tc>
          <w:tcPr>
            <w:tcW w:w="2641" w:type="pct"/>
            <w:noWrap w:val="0"/>
            <w:vAlign w:val="center"/>
          </w:tcPr>
          <w:p w14:paraId="50C21BC8">
            <w:pPr>
              <w:jc w:val="both"/>
              <w:rPr>
                <w:rFonts w:ascii="仿宋" w:hAnsi="仿宋" w:eastAsia="仿宋"/>
                <w:bCs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/>
                <w:bCs/>
                <w:szCs w:val="24"/>
                <w:shd w:val="clear" w:color="auto" w:fill="FFFFFF"/>
              </w:rPr>
              <w:t>估价目的、对象和价格定义界定清楚、准确</w:t>
            </w:r>
          </w:p>
        </w:tc>
        <w:tc>
          <w:tcPr>
            <w:tcW w:w="793" w:type="pct"/>
            <w:noWrap w:val="0"/>
            <w:vAlign w:val="center"/>
          </w:tcPr>
          <w:p w14:paraId="59215E83">
            <w:pPr>
              <w:spacing w:line="288" w:lineRule="auto"/>
              <w:jc w:val="center"/>
              <w:rPr>
                <w:rFonts w:ascii="仿宋" w:hAnsi="仿宋" w:eastAsia="仿宋"/>
                <w:bCs/>
                <w:shd w:val="clear" w:color="auto" w:fill="FFFFFF"/>
              </w:rPr>
            </w:pPr>
            <w:r>
              <w:rPr>
                <w:rFonts w:hint="eastAsia" w:ascii="仿宋" w:hAnsi="仿宋" w:eastAsia="仿宋"/>
                <w:bCs/>
                <w:shd w:val="clear" w:color="auto" w:fill="FFFFFF"/>
              </w:rPr>
              <w:t>5</w:t>
            </w:r>
          </w:p>
        </w:tc>
        <w:tc>
          <w:tcPr>
            <w:tcW w:w="870" w:type="pct"/>
            <w:vMerge w:val="restart"/>
            <w:noWrap w:val="0"/>
            <w:vAlign w:val="center"/>
          </w:tcPr>
          <w:p w14:paraId="14951FC6">
            <w:pPr>
              <w:spacing w:line="288" w:lineRule="auto"/>
              <w:jc w:val="center"/>
              <w:rPr>
                <w:rFonts w:ascii="仿宋" w:hAnsi="仿宋" w:eastAsia="仿宋"/>
                <w:bCs/>
                <w:shd w:val="clear" w:color="auto" w:fill="FFFFFF"/>
              </w:rPr>
            </w:pPr>
            <w:r>
              <w:rPr>
                <w:rFonts w:ascii="仿宋" w:hAnsi="仿宋" w:eastAsia="仿宋"/>
                <w:bCs/>
                <w:shd w:val="clear" w:color="auto" w:fill="FFFFFF"/>
              </w:rPr>
              <w:t>4</w:t>
            </w:r>
            <w:r>
              <w:rPr>
                <w:rFonts w:hint="eastAsia" w:ascii="仿宋" w:hAnsi="仿宋" w:eastAsia="仿宋"/>
                <w:bCs/>
                <w:shd w:val="clear" w:color="auto" w:fill="FFFFFF"/>
              </w:rPr>
              <w:t>0</w:t>
            </w:r>
          </w:p>
        </w:tc>
      </w:tr>
      <w:tr w14:paraId="4F1C0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pct"/>
            <w:vMerge w:val="continue"/>
            <w:noWrap w:val="0"/>
            <w:vAlign w:val="center"/>
          </w:tcPr>
          <w:p w14:paraId="786B4997">
            <w:pPr>
              <w:spacing w:line="288" w:lineRule="auto"/>
              <w:jc w:val="center"/>
              <w:rPr>
                <w:rFonts w:ascii="仿宋" w:hAnsi="仿宋" w:eastAsia="仿宋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41" w:type="pct"/>
            <w:noWrap w:val="0"/>
            <w:vAlign w:val="center"/>
          </w:tcPr>
          <w:p w14:paraId="74BAA515">
            <w:pPr>
              <w:jc w:val="both"/>
              <w:rPr>
                <w:rFonts w:ascii="仿宋" w:hAnsi="仿宋" w:eastAsia="仿宋"/>
                <w:bCs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/>
                <w:bCs/>
                <w:szCs w:val="24"/>
                <w:shd w:val="clear" w:color="auto" w:fill="FFFFFF"/>
              </w:rPr>
              <w:t>价格影响因素分析合理、全面、扼要</w:t>
            </w:r>
          </w:p>
        </w:tc>
        <w:tc>
          <w:tcPr>
            <w:tcW w:w="793" w:type="pct"/>
            <w:noWrap w:val="0"/>
            <w:vAlign w:val="center"/>
          </w:tcPr>
          <w:p w14:paraId="6058F770">
            <w:pPr>
              <w:spacing w:line="288" w:lineRule="auto"/>
              <w:jc w:val="center"/>
              <w:rPr>
                <w:rFonts w:ascii="仿宋" w:hAnsi="仿宋" w:eastAsia="仿宋"/>
                <w:bCs/>
                <w:shd w:val="clear" w:color="auto" w:fill="FFFFFF"/>
              </w:rPr>
            </w:pPr>
            <w:r>
              <w:rPr>
                <w:rFonts w:hint="eastAsia" w:ascii="仿宋" w:hAnsi="仿宋" w:eastAsia="仿宋"/>
                <w:bCs/>
                <w:shd w:val="clear" w:color="auto" w:fill="FFFFFF"/>
              </w:rPr>
              <w:t>10</w:t>
            </w:r>
          </w:p>
        </w:tc>
        <w:tc>
          <w:tcPr>
            <w:tcW w:w="870" w:type="pct"/>
            <w:vMerge w:val="continue"/>
            <w:noWrap w:val="0"/>
            <w:vAlign w:val="top"/>
          </w:tcPr>
          <w:p w14:paraId="0CF629D1">
            <w:pPr>
              <w:spacing w:line="288" w:lineRule="auto"/>
              <w:jc w:val="center"/>
              <w:rPr>
                <w:rFonts w:ascii="仿宋" w:hAnsi="仿宋" w:eastAsia="仿宋"/>
                <w:bCs/>
                <w:shd w:val="clear" w:color="auto" w:fill="FFFFFF"/>
              </w:rPr>
            </w:pPr>
          </w:p>
        </w:tc>
      </w:tr>
      <w:tr w14:paraId="2F600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pct"/>
            <w:vMerge w:val="continue"/>
            <w:noWrap w:val="0"/>
            <w:vAlign w:val="center"/>
          </w:tcPr>
          <w:p w14:paraId="12BAB6EA">
            <w:pPr>
              <w:spacing w:line="288" w:lineRule="auto"/>
              <w:jc w:val="center"/>
              <w:rPr>
                <w:rFonts w:ascii="仿宋" w:hAnsi="仿宋" w:eastAsia="仿宋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41" w:type="pct"/>
            <w:noWrap w:val="0"/>
            <w:vAlign w:val="center"/>
          </w:tcPr>
          <w:p w14:paraId="22FF0AD7">
            <w:pPr>
              <w:jc w:val="both"/>
              <w:rPr>
                <w:rFonts w:ascii="仿宋" w:hAnsi="仿宋" w:eastAsia="仿宋"/>
                <w:bCs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/>
                <w:bCs/>
                <w:szCs w:val="24"/>
                <w:shd w:val="clear" w:color="auto" w:fill="FFFFFF"/>
              </w:rPr>
              <w:t>估价思路清晰，估价方法选择及应用合理</w:t>
            </w:r>
          </w:p>
        </w:tc>
        <w:tc>
          <w:tcPr>
            <w:tcW w:w="793" w:type="pct"/>
            <w:noWrap w:val="0"/>
            <w:vAlign w:val="center"/>
          </w:tcPr>
          <w:p w14:paraId="05291AE5">
            <w:pPr>
              <w:spacing w:line="288" w:lineRule="auto"/>
              <w:jc w:val="center"/>
              <w:rPr>
                <w:rFonts w:ascii="仿宋" w:hAnsi="仿宋" w:eastAsia="仿宋"/>
                <w:bCs/>
                <w:shd w:val="clear" w:color="auto" w:fill="FFFFFF"/>
              </w:rPr>
            </w:pPr>
            <w:r>
              <w:rPr>
                <w:rFonts w:hint="eastAsia" w:ascii="仿宋" w:hAnsi="仿宋" w:eastAsia="仿宋"/>
                <w:bCs/>
                <w:shd w:val="clear" w:color="auto" w:fill="FFFFFF"/>
              </w:rPr>
              <w:t>10</w:t>
            </w:r>
          </w:p>
        </w:tc>
        <w:tc>
          <w:tcPr>
            <w:tcW w:w="870" w:type="pct"/>
            <w:vMerge w:val="continue"/>
            <w:noWrap w:val="0"/>
            <w:vAlign w:val="top"/>
          </w:tcPr>
          <w:p w14:paraId="481B2ACE">
            <w:pPr>
              <w:spacing w:line="288" w:lineRule="auto"/>
              <w:jc w:val="center"/>
              <w:rPr>
                <w:rFonts w:ascii="仿宋" w:hAnsi="仿宋" w:eastAsia="仿宋"/>
                <w:bCs/>
                <w:shd w:val="clear" w:color="auto" w:fill="FFFFFF"/>
              </w:rPr>
            </w:pPr>
          </w:p>
        </w:tc>
      </w:tr>
      <w:tr w14:paraId="22C09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pct"/>
            <w:vMerge w:val="continue"/>
            <w:noWrap w:val="0"/>
            <w:vAlign w:val="center"/>
          </w:tcPr>
          <w:p w14:paraId="6D925045">
            <w:pPr>
              <w:spacing w:line="288" w:lineRule="auto"/>
              <w:jc w:val="center"/>
              <w:rPr>
                <w:rFonts w:ascii="仿宋" w:hAnsi="仿宋" w:eastAsia="仿宋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41" w:type="pct"/>
            <w:noWrap w:val="0"/>
            <w:vAlign w:val="center"/>
          </w:tcPr>
          <w:p w14:paraId="6B43E91D">
            <w:pPr>
              <w:jc w:val="both"/>
              <w:rPr>
                <w:rFonts w:ascii="仿宋" w:hAnsi="仿宋" w:eastAsia="仿宋"/>
                <w:bCs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/>
                <w:bCs/>
                <w:szCs w:val="24"/>
                <w:shd w:val="clear" w:color="auto" w:fill="FFFFFF"/>
              </w:rPr>
              <w:t>估价过程完整、数据来源可靠、估价参数确定依据充分、合理</w:t>
            </w:r>
          </w:p>
        </w:tc>
        <w:tc>
          <w:tcPr>
            <w:tcW w:w="793" w:type="pct"/>
            <w:noWrap w:val="0"/>
            <w:vAlign w:val="center"/>
          </w:tcPr>
          <w:p w14:paraId="68AE9101">
            <w:pPr>
              <w:spacing w:line="288" w:lineRule="auto"/>
              <w:jc w:val="center"/>
              <w:rPr>
                <w:rFonts w:ascii="仿宋" w:hAnsi="仿宋" w:eastAsia="仿宋"/>
                <w:bCs/>
                <w:shd w:val="clear" w:color="auto" w:fill="FFFFFF"/>
              </w:rPr>
            </w:pPr>
            <w:r>
              <w:rPr>
                <w:rFonts w:ascii="仿宋" w:hAnsi="仿宋" w:eastAsia="仿宋"/>
                <w:bCs/>
                <w:shd w:val="clear" w:color="auto" w:fill="FFFFFF"/>
              </w:rPr>
              <w:t>10</w:t>
            </w:r>
          </w:p>
        </w:tc>
        <w:tc>
          <w:tcPr>
            <w:tcW w:w="870" w:type="pct"/>
            <w:vMerge w:val="continue"/>
            <w:noWrap w:val="0"/>
            <w:vAlign w:val="top"/>
          </w:tcPr>
          <w:p w14:paraId="50C36F0F">
            <w:pPr>
              <w:spacing w:line="288" w:lineRule="auto"/>
              <w:jc w:val="center"/>
              <w:rPr>
                <w:rFonts w:ascii="仿宋" w:hAnsi="仿宋" w:eastAsia="仿宋"/>
                <w:bCs/>
                <w:shd w:val="clear" w:color="auto" w:fill="FFFFFF"/>
              </w:rPr>
            </w:pPr>
          </w:p>
        </w:tc>
      </w:tr>
      <w:tr w14:paraId="6EB04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pct"/>
            <w:vMerge w:val="continue"/>
            <w:noWrap w:val="0"/>
            <w:vAlign w:val="center"/>
          </w:tcPr>
          <w:p w14:paraId="1D4F702F">
            <w:pPr>
              <w:spacing w:line="288" w:lineRule="auto"/>
              <w:jc w:val="center"/>
              <w:rPr>
                <w:rFonts w:ascii="仿宋" w:hAnsi="仿宋" w:eastAsia="仿宋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41" w:type="pct"/>
            <w:noWrap w:val="0"/>
            <w:vAlign w:val="center"/>
          </w:tcPr>
          <w:p w14:paraId="46B2BBBB">
            <w:pPr>
              <w:jc w:val="both"/>
              <w:rPr>
                <w:rFonts w:ascii="仿宋" w:hAnsi="仿宋" w:eastAsia="仿宋"/>
                <w:bCs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/>
                <w:bCs/>
                <w:szCs w:val="24"/>
                <w:shd w:val="clear" w:color="auto" w:fill="FFFFFF"/>
              </w:rPr>
              <w:t>估价结果客观、合理</w:t>
            </w:r>
          </w:p>
        </w:tc>
        <w:tc>
          <w:tcPr>
            <w:tcW w:w="793" w:type="pct"/>
            <w:noWrap w:val="0"/>
            <w:vAlign w:val="center"/>
          </w:tcPr>
          <w:p w14:paraId="733C295F">
            <w:pPr>
              <w:spacing w:line="288" w:lineRule="auto"/>
              <w:jc w:val="center"/>
              <w:rPr>
                <w:rFonts w:ascii="仿宋" w:hAnsi="仿宋" w:eastAsia="仿宋"/>
                <w:bCs/>
                <w:shd w:val="clear" w:color="auto" w:fill="FFFFFF"/>
              </w:rPr>
            </w:pPr>
            <w:r>
              <w:rPr>
                <w:rFonts w:hint="eastAsia" w:ascii="仿宋" w:hAnsi="仿宋" w:eastAsia="仿宋"/>
                <w:bCs/>
                <w:shd w:val="clear" w:color="auto" w:fill="FFFFFF"/>
              </w:rPr>
              <w:t>5</w:t>
            </w:r>
          </w:p>
        </w:tc>
        <w:tc>
          <w:tcPr>
            <w:tcW w:w="870" w:type="pct"/>
            <w:vMerge w:val="continue"/>
            <w:noWrap w:val="0"/>
            <w:vAlign w:val="top"/>
          </w:tcPr>
          <w:p w14:paraId="1894D952">
            <w:pPr>
              <w:spacing w:line="288" w:lineRule="auto"/>
              <w:jc w:val="center"/>
              <w:rPr>
                <w:rFonts w:ascii="仿宋" w:hAnsi="仿宋" w:eastAsia="仿宋"/>
                <w:bCs/>
                <w:shd w:val="clear" w:color="auto" w:fill="FFFFFF"/>
              </w:rPr>
            </w:pPr>
          </w:p>
        </w:tc>
      </w:tr>
      <w:tr w14:paraId="79FB5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696" w:type="pct"/>
            <w:vMerge w:val="restart"/>
            <w:noWrap w:val="0"/>
            <w:vAlign w:val="center"/>
          </w:tcPr>
          <w:p w14:paraId="3C21AF7A">
            <w:pPr>
              <w:spacing w:line="288" w:lineRule="auto"/>
              <w:jc w:val="center"/>
              <w:rPr>
                <w:rFonts w:ascii="仿宋" w:hAnsi="仿宋" w:eastAsia="仿宋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shd w:val="clear" w:color="auto" w:fill="FFFFFF"/>
              </w:rPr>
              <w:t>规范性</w:t>
            </w:r>
          </w:p>
        </w:tc>
        <w:tc>
          <w:tcPr>
            <w:tcW w:w="2641" w:type="pct"/>
            <w:noWrap w:val="0"/>
            <w:vAlign w:val="center"/>
          </w:tcPr>
          <w:p w14:paraId="6BDC3CDC">
            <w:pPr>
              <w:jc w:val="both"/>
              <w:rPr>
                <w:rFonts w:ascii="仿宋" w:hAnsi="仿宋" w:eastAsia="仿宋"/>
                <w:bCs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/>
                <w:bCs/>
                <w:szCs w:val="24"/>
                <w:shd w:val="clear" w:color="auto" w:fill="FFFFFF"/>
              </w:rPr>
              <w:t>内容全面、要件齐全</w:t>
            </w:r>
          </w:p>
        </w:tc>
        <w:tc>
          <w:tcPr>
            <w:tcW w:w="793" w:type="pct"/>
            <w:noWrap w:val="0"/>
            <w:vAlign w:val="center"/>
          </w:tcPr>
          <w:p w14:paraId="76E1ABED">
            <w:pPr>
              <w:spacing w:line="288" w:lineRule="auto"/>
              <w:jc w:val="center"/>
              <w:rPr>
                <w:rFonts w:ascii="仿宋" w:hAnsi="仿宋" w:eastAsia="仿宋"/>
                <w:bCs/>
                <w:shd w:val="clear" w:color="auto" w:fill="FFFFFF"/>
              </w:rPr>
            </w:pPr>
            <w:r>
              <w:rPr>
                <w:rFonts w:hint="eastAsia" w:ascii="仿宋" w:hAnsi="仿宋" w:eastAsia="仿宋"/>
                <w:bCs/>
                <w:shd w:val="clear" w:color="auto" w:fill="FFFFFF"/>
              </w:rPr>
              <w:t>10</w:t>
            </w:r>
          </w:p>
        </w:tc>
        <w:tc>
          <w:tcPr>
            <w:tcW w:w="870" w:type="pct"/>
            <w:vMerge w:val="restart"/>
            <w:noWrap w:val="0"/>
            <w:vAlign w:val="center"/>
          </w:tcPr>
          <w:p w14:paraId="024C1B6C">
            <w:pPr>
              <w:spacing w:line="288" w:lineRule="auto"/>
              <w:jc w:val="center"/>
              <w:rPr>
                <w:rFonts w:ascii="仿宋" w:hAnsi="仿宋" w:eastAsia="仿宋"/>
                <w:bCs/>
                <w:shd w:val="clear" w:color="auto" w:fill="FFFFFF"/>
              </w:rPr>
            </w:pPr>
            <w:r>
              <w:rPr>
                <w:rFonts w:hint="eastAsia" w:ascii="仿宋" w:hAnsi="仿宋" w:eastAsia="仿宋"/>
                <w:bCs/>
                <w:shd w:val="clear" w:color="auto" w:fill="FFFFFF"/>
              </w:rPr>
              <w:t>20</w:t>
            </w:r>
          </w:p>
        </w:tc>
      </w:tr>
      <w:tr w14:paraId="55A7C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pct"/>
            <w:vMerge w:val="continue"/>
            <w:noWrap w:val="0"/>
            <w:vAlign w:val="center"/>
          </w:tcPr>
          <w:p w14:paraId="463E9633">
            <w:pPr>
              <w:jc w:val="center"/>
              <w:rPr>
                <w:rFonts w:ascii="仿宋" w:hAnsi="仿宋" w:eastAsia="仿宋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41" w:type="pct"/>
            <w:noWrap w:val="0"/>
            <w:vAlign w:val="center"/>
          </w:tcPr>
          <w:p w14:paraId="4CB61208">
            <w:pPr>
              <w:jc w:val="both"/>
              <w:rPr>
                <w:rFonts w:ascii="仿宋" w:hAnsi="仿宋" w:eastAsia="仿宋"/>
                <w:bCs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/>
                <w:bCs/>
                <w:szCs w:val="24"/>
                <w:shd w:val="clear" w:color="auto" w:fill="FFFFFF"/>
              </w:rPr>
              <w:t>格式规范，文字表达流畅、客观</w:t>
            </w:r>
          </w:p>
        </w:tc>
        <w:tc>
          <w:tcPr>
            <w:tcW w:w="793" w:type="pct"/>
            <w:noWrap w:val="0"/>
            <w:vAlign w:val="center"/>
          </w:tcPr>
          <w:p w14:paraId="56A68EB8">
            <w:pPr>
              <w:spacing w:line="288" w:lineRule="auto"/>
              <w:jc w:val="center"/>
              <w:rPr>
                <w:rFonts w:ascii="仿宋" w:hAnsi="仿宋" w:eastAsia="仿宋"/>
                <w:bCs/>
                <w:shd w:val="clear" w:color="auto" w:fill="FFFFFF"/>
              </w:rPr>
            </w:pPr>
            <w:r>
              <w:rPr>
                <w:rFonts w:hint="eastAsia" w:ascii="仿宋" w:hAnsi="仿宋" w:eastAsia="仿宋"/>
                <w:bCs/>
                <w:shd w:val="clear" w:color="auto" w:fill="FFFFFF"/>
              </w:rPr>
              <w:t>10</w:t>
            </w:r>
          </w:p>
        </w:tc>
        <w:tc>
          <w:tcPr>
            <w:tcW w:w="870" w:type="pct"/>
            <w:vMerge w:val="continue"/>
            <w:noWrap w:val="0"/>
            <w:vAlign w:val="top"/>
          </w:tcPr>
          <w:p w14:paraId="14B0BDCE">
            <w:pPr>
              <w:spacing w:line="288" w:lineRule="auto"/>
              <w:jc w:val="center"/>
              <w:rPr>
                <w:rFonts w:ascii="仿宋" w:hAnsi="仿宋" w:eastAsia="仿宋"/>
                <w:bCs/>
                <w:shd w:val="clear" w:color="auto" w:fill="FFFFFF"/>
              </w:rPr>
            </w:pPr>
          </w:p>
        </w:tc>
      </w:tr>
    </w:tbl>
    <w:p w14:paraId="5DBD6259">
      <w:pPr>
        <w:bidi w:val="0"/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210E278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852AB8"/>
    <w:rsid w:val="4285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2025-04-15T01:40:00Z</dcterms:created>
  <dc:creator>ID</dc:creator>
  <cp:lastModifiedBy>ID</cp:lastModifiedBy>
  <dcterms:modified xsi:type="dcterms:W3CDTF">2025-04-15T01:40:23Z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2D53B6BDC37B47769528B0EE281CCA3E_11</vt:lpwstr>
  </property>
  <property fmtid="{D5CDD505-2E9C-101B-9397-08002B2CF9AE}" pid="4" name="KSOTemplateDocerSaveRecord">
    <vt:lpwstr>eyJoZGlkIjoiYjZmNTNiYTk3ZjQyMmNiODUyMGNjYmY1MGJkYTFkYjkiLCJ1c2VySWQiOiIxMTU0NTA4MTkyIn0=</vt:lpwstr>
  </property>
</Properties>
</file>